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5386"/>
          <w:tab w:val="left" w:pos="5954"/>
          <w:tab w:val="left" w:pos="8445"/>
        </w:tabs>
        <w:spacing w:line="276" w:lineRule="auto"/>
        <w:ind w:firstLine="421" w:firstLineChars="131"/>
        <w:jc w:val="center"/>
        <w:rPr>
          <w:rFonts w:asciiTheme="minorEastAsia" w:hAnsiTheme="minorEastAsia"/>
          <w:b/>
          <w:bCs/>
          <w:sz w:val="32"/>
          <w:szCs w:val="36"/>
        </w:rPr>
      </w:pPr>
      <w:bookmarkStart w:id="0" w:name="_GoBack"/>
      <w:bookmarkEnd w:id="0"/>
      <w:r>
        <w:rPr>
          <w:rFonts w:asciiTheme="minorEastAsia" w:hAnsiTheme="minorEastAsia"/>
          <w:b/>
          <w:bCs/>
          <w:sz w:val="32"/>
          <w:szCs w:val="36"/>
        </w:rPr>
        <w:t>直销</w:t>
      </w:r>
      <w:r>
        <w:rPr>
          <w:rFonts w:hint="eastAsia" w:asciiTheme="minorEastAsia" w:hAnsiTheme="minorEastAsia"/>
          <w:b/>
          <w:bCs/>
          <w:sz w:val="32"/>
          <w:szCs w:val="36"/>
        </w:rPr>
        <w:t>柜台</w:t>
      </w:r>
      <w:r>
        <w:rPr>
          <w:rFonts w:asciiTheme="minorEastAsia" w:hAnsiTheme="minorEastAsia"/>
          <w:b/>
          <w:bCs/>
          <w:sz w:val="32"/>
          <w:szCs w:val="36"/>
        </w:rPr>
        <w:t>业务指引</w:t>
      </w:r>
      <w:r>
        <w:rPr>
          <w:rFonts w:hint="eastAsia" w:asciiTheme="minorEastAsia" w:hAnsiTheme="minorEastAsia"/>
          <w:b/>
          <w:bCs/>
          <w:sz w:val="32"/>
          <w:szCs w:val="36"/>
        </w:rPr>
        <w:t>（机构及产品）</w:t>
      </w:r>
    </w:p>
    <w:p>
      <w:pPr>
        <w:spacing w:line="276" w:lineRule="auto"/>
        <w:ind w:firstLine="316" w:firstLineChars="131"/>
        <w:rPr>
          <w:rFonts w:ascii="宋体" w:hAnsi="宋体" w:eastAsia="宋体" w:cs="宋体"/>
          <w:b/>
          <w:kern w:val="0"/>
          <w:sz w:val="24"/>
          <w:szCs w:val="24"/>
        </w:rPr>
      </w:pPr>
      <w:r>
        <w:rPr>
          <w:rFonts w:hint="eastAsia" w:ascii="宋体" w:hAnsi="宋体" w:eastAsia="宋体" w:cs="宋体"/>
          <w:b/>
          <w:kern w:val="0"/>
          <w:sz w:val="24"/>
          <w:szCs w:val="24"/>
        </w:rPr>
        <w:t>一、直销业务受理一般流程：</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（一）下载：投资者通过渤海汇金证券资产管理有限公司（以下简称“渤海汇金”或“本公司”）官网（</w:t>
      </w:r>
      <w:r>
        <w:rPr>
          <w:rFonts w:hint="default" w:ascii="Times New Roman" w:hAnsi="Times New Roman" w:cs="Times New Roman"/>
        </w:rPr>
        <w:t>www.bhhjamc.com</w:t>
      </w:r>
      <w:r>
        <w:rPr>
          <w:rFonts w:hint="eastAsia" w:ascii="宋体" w:hAnsi="宋体" w:eastAsia="宋体" w:cs="Times New Roman"/>
          <w:szCs w:val="21"/>
        </w:rPr>
        <w:t>）下载中心下载有关资料或向本公司员工索要相关资料。</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（二）阅读：投资者阅读《投资人权益须知》、《直销业务受理指引》等直销业务相关文件。</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（三）填单：投资者填写相关业务表单并提供相关证明材料。</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（四）传真或电子邮件发送：投资者通过指定传真或指定邮箱将填妥并签字/盖章的有关业务申请资料发送至渤海汇金直销柜台指定联系方式，业务申请资料须于申请当日</w:t>
      </w:r>
      <w:r>
        <w:rPr>
          <w:rFonts w:hint="default" w:ascii="Times New Roman" w:hAnsi="Times New Roman" w:cs="Times New Roman"/>
        </w:rPr>
        <w:t>15</w:t>
      </w:r>
      <w:r>
        <w:rPr>
          <w:rFonts w:hint="eastAsia"/>
        </w:rPr>
        <w:t>：</w:t>
      </w:r>
      <w:r>
        <w:rPr>
          <w:rFonts w:hint="default" w:ascii="Times New Roman" w:hAnsi="Times New Roman" w:cs="Times New Roman"/>
        </w:rPr>
        <w:t>00</w:t>
      </w:r>
      <w:r>
        <w:rPr>
          <w:rFonts w:hint="eastAsia" w:ascii="宋体" w:hAnsi="宋体" w:eastAsia="宋体" w:cs="Times New Roman"/>
          <w:szCs w:val="21"/>
        </w:rPr>
        <w:t>前（认购及认购时开户业务延长至</w:t>
      </w:r>
      <w:r>
        <w:rPr>
          <w:rFonts w:hint="default" w:ascii="Times New Roman" w:hAnsi="Times New Roman" w:cs="Times New Roman"/>
        </w:rPr>
        <w:t>17</w:t>
      </w:r>
      <w:r>
        <w:rPr>
          <w:rFonts w:hint="eastAsia"/>
        </w:rPr>
        <w:t>：</w:t>
      </w:r>
      <w:r>
        <w:rPr>
          <w:rFonts w:hint="default" w:ascii="Times New Roman" w:hAnsi="Times New Roman" w:cs="Times New Roman"/>
        </w:rPr>
        <w:t>00</w:t>
      </w:r>
      <w:r>
        <w:rPr>
          <w:rFonts w:ascii="Times New Roman" w:hAnsi="Times New Roman" w:eastAsia="宋体" w:cs="Times New Roman"/>
          <w:szCs w:val="21"/>
        </w:rPr>
        <w:t>）</w:t>
      </w:r>
      <w:r>
        <w:rPr>
          <w:rFonts w:hint="eastAsia" w:ascii="Times New Roman" w:hAnsi="Times New Roman" w:eastAsia="宋体" w:cs="Times New Roman"/>
          <w:szCs w:val="21"/>
        </w:rPr>
        <w:t>发送</w:t>
      </w:r>
      <w:r>
        <w:rPr>
          <w:rFonts w:hint="eastAsia" w:ascii="宋体" w:hAnsi="宋体" w:eastAsia="宋体" w:cs="Times New Roman"/>
          <w:szCs w:val="21"/>
        </w:rPr>
        <w:t>，并与直销业务受理人员进行确认。直销业务传真：</w:t>
      </w:r>
      <w:r>
        <w:rPr>
          <w:rFonts w:hint="default" w:ascii="Times New Roman" w:hAnsi="Times New Roman" w:cs="Times New Roman"/>
        </w:rPr>
        <w:t>022-23861510</w:t>
      </w:r>
      <w:r>
        <w:rPr>
          <w:rFonts w:hint="eastAsia" w:ascii="宋体" w:hAnsi="宋体" w:eastAsia="宋体" w:cs="Times New Roman"/>
          <w:szCs w:val="21"/>
        </w:rPr>
        <w:t>；直销专线电话：</w:t>
      </w:r>
      <w:r>
        <w:rPr>
          <w:rFonts w:hint="default" w:ascii="Times New Roman" w:hAnsi="Times New Roman" w:cs="Times New Roman"/>
        </w:rPr>
        <w:t>022-28451132</w:t>
      </w:r>
      <w:r>
        <w:rPr>
          <w:rFonts w:hint="eastAsia" w:ascii="宋体" w:hAnsi="宋体" w:eastAsia="宋体" w:cs="Times New Roman"/>
          <w:szCs w:val="21"/>
        </w:rPr>
        <w:t>，</w:t>
      </w:r>
      <w:r>
        <w:rPr>
          <w:rFonts w:hint="eastAsia"/>
        </w:rPr>
        <w:t>直销业务邮箱</w:t>
      </w:r>
      <w:r>
        <w:rPr>
          <w:rFonts w:ascii="Times New Roman" w:hAnsi="Times New Roman" w:cs="Times New Roman"/>
        </w:rPr>
        <w:t>bhhjzx@</w:t>
      </w:r>
      <w:r>
        <w:rPr>
          <w:rFonts w:hint="default" w:ascii="Times New Roman" w:hAnsi="Times New Roman" w:cs="Times New Roman"/>
        </w:rPr>
        <w:t>bhzq</w:t>
      </w:r>
      <w:r>
        <w:rPr>
          <w:rFonts w:ascii="Times New Roman" w:hAnsi="Times New Roman" w:cs="Times New Roman"/>
        </w:rPr>
        <w:t>.com</w:t>
      </w:r>
      <w:r>
        <w:rPr>
          <w:rFonts w:ascii="宋体" w:hAnsi="宋体" w:eastAsia="宋体" w:cs="Times New Roman"/>
          <w:szCs w:val="21"/>
        </w:rPr>
        <w:t>，</w:t>
      </w:r>
      <w:r>
        <w:rPr>
          <w:rFonts w:hint="eastAsia" w:ascii="宋体" w:hAnsi="宋体" w:eastAsia="宋体" w:cs="Times New Roman"/>
          <w:szCs w:val="21"/>
        </w:rPr>
        <w:t>如有变化本公司提前予以在官网进行公告，并以公告的新联系方式为准。</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（五）认、申购业务：投资者申购资金须在提交申购申请当日</w:t>
      </w:r>
      <w:r>
        <w:rPr>
          <w:rFonts w:hint="default" w:ascii="Times New Roman" w:hAnsi="Times New Roman" w:cs="Times New Roman"/>
        </w:rPr>
        <w:t>15</w:t>
      </w:r>
      <w:r>
        <w:rPr>
          <w:rFonts w:hint="eastAsia"/>
        </w:rPr>
        <w:t>：</w:t>
      </w:r>
      <w:r>
        <w:rPr>
          <w:rFonts w:hint="default" w:ascii="Times New Roman" w:hAnsi="Times New Roman" w:cs="Times New Roman"/>
        </w:rPr>
        <w:t>00</w:t>
      </w:r>
      <w:r>
        <w:rPr>
          <w:rFonts w:hint="eastAsia" w:ascii="宋体" w:hAnsi="宋体" w:eastAsia="宋体" w:cs="Times New Roman"/>
          <w:szCs w:val="21"/>
        </w:rPr>
        <w:t>前足额交付并划入本公司指定直销专户；投资者认购资金须在提交认购申请当日</w:t>
      </w:r>
      <w:r>
        <w:rPr>
          <w:rFonts w:hint="default" w:ascii="Times New Roman" w:hAnsi="Times New Roman" w:cs="Times New Roman"/>
        </w:rPr>
        <w:t>17</w:t>
      </w:r>
      <w:r>
        <w:rPr>
          <w:rFonts w:hint="eastAsia"/>
        </w:rPr>
        <w:t>：</w:t>
      </w:r>
      <w:r>
        <w:rPr>
          <w:rFonts w:hint="default" w:ascii="Times New Roman" w:hAnsi="Times New Roman" w:cs="Times New Roman"/>
        </w:rPr>
        <w:t>00</w:t>
      </w:r>
      <w:r>
        <w:rPr>
          <w:rFonts w:hint="eastAsia" w:ascii="宋体" w:hAnsi="宋体" w:eastAsia="宋体" w:cs="Times New Roman"/>
          <w:szCs w:val="21"/>
        </w:rPr>
        <w:t>前足额交付并划入本公司指定直销专户，如认/申购款在规定时间内未交付，该交易申请无效。</w:t>
      </w:r>
    </w:p>
    <w:p>
      <w:pPr>
        <w:spacing w:line="276" w:lineRule="auto"/>
        <w:ind w:firstLine="275" w:firstLineChars="131"/>
        <w:rPr>
          <w:rFonts w:ascii="宋体" w:hAnsi="宋体" w:eastAsia="宋体" w:cs="Times New Roman"/>
          <w:bCs/>
          <w:szCs w:val="21"/>
        </w:rPr>
      </w:pPr>
      <w:r>
        <w:rPr>
          <w:rFonts w:hint="eastAsia" w:ascii="宋体" w:hAnsi="宋体" w:eastAsia="宋体" w:cs="Times New Roman"/>
          <w:bCs/>
          <w:szCs w:val="21"/>
        </w:rPr>
        <w:t>（六）寄出申请表单原件：投资者应在委托申请完成后的</w:t>
      </w:r>
      <w:r>
        <w:rPr>
          <w:rFonts w:hint="default" w:ascii="Times New Roman" w:hAnsi="Times New Roman" w:cs="Times New Roman"/>
        </w:rPr>
        <w:t>2</w:t>
      </w:r>
      <w:r>
        <w:rPr>
          <w:rFonts w:hint="eastAsia" w:ascii="宋体" w:hAnsi="宋体" w:eastAsia="宋体" w:cs="Times New Roman"/>
          <w:bCs/>
          <w:szCs w:val="21"/>
        </w:rPr>
        <w:t>个工作日内将有关</w:t>
      </w:r>
      <w:r>
        <w:rPr>
          <w:rFonts w:hint="eastAsia" w:ascii="宋体" w:hAnsi="宋体" w:eastAsia="宋体" w:cs="Times New Roman"/>
          <w:szCs w:val="21"/>
        </w:rPr>
        <w:t>账户类业务申请资料（含投资者适当性资料及产品风险揭示书）寄送至渤海汇金直销业务指定信函地址（如投资者需留存相关表单原件需提前说明并填写一式两份），如委托申请完成后的</w:t>
      </w:r>
      <w:r>
        <w:rPr>
          <w:rFonts w:hint="default" w:ascii="Times New Roman" w:hAnsi="Times New Roman" w:cs="Times New Roman"/>
        </w:rPr>
        <w:t>10</w:t>
      </w:r>
      <w:r>
        <w:rPr>
          <w:rFonts w:hint="eastAsia" w:ascii="宋体" w:hAnsi="宋体" w:eastAsia="宋体" w:cs="Times New Roman"/>
          <w:szCs w:val="21"/>
        </w:rPr>
        <w:t>个工作日内，本公司没有收到相关原件，本公司有权拒绝客户下一次直销业务委托申请。</w:t>
      </w:r>
    </w:p>
    <w:p>
      <w:pPr>
        <w:spacing w:line="276" w:lineRule="auto"/>
        <w:ind w:firstLine="275" w:firstLineChars="131"/>
        <w:rPr>
          <w:rFonts w:ascii="宋体" w:hAnsi="宋体" w:eastAsia="宋体" w:cs="Times New Roman"/>
          <w:bCs/>
          <w:szCs w:val="21"/>
        </w:rPr>
      </w:pPr>
      <w:r>
        <w:rPr>
          <w:rFonts w:hint="eastAsia" w:ascii="宋体" w:hAnsi="宋体" w:eastAsia="宋体" w:cs="Times New Roman"/>
          <w:bCs/>
          <w:szCs w:val="21"/>
        </w:rPr>
        <w:t>（七）业务确认：本公司根据客户需求在</w:t>
      </w:r>
      <w:r>
        <w:rPr>
          <w:rFonts w:hint="default" w:ascii="Times New Roman" w:hAnsi="Times New Roman" w:cs="Times New Roman"/>
        </w:rPr>
        <w:t>T</w:t>
      </w:r>
      <w:r>
        <w:rPr>
          <w:rFonts w:hint="eastAsia"/>
        </w:rPr>
        <w:t>+</w:t>
      </w:r>
      <w:r>
        <w:rPr>
          <w:rFonts w:hint="default" w:ascii="Times New Roman" w:hAnsi="Times New Roman" w:cs="Times New Roman"/>
        </w:rPr>
        <w:t>2</w:t>
      </w:r>
      <w:r>
        <w:rPr>
          <w:rFonts w:hint="eastAsia" w:ascii="宋体" w:hAnsi="宋体" w:eastAsia="宋体" w:cs="Times New Roman"/>
          <w:bCs/>
          <w:szCs w:val="21"/>
        </w:rPr>
        <w:t>工作日内将业务确认单以传真、电子邮件、邮寄或与客户达成一致的方式发送给投资者，投资者也可通过本公司客服电话或直销专线查询确认结果。</w:t>
      </w:r>
    </w:p>
    <w:p>
      <w:pPr>
        <w:widowControl/>
        <w:spacing w:line="276" w:lineRule="auto"/>
        <w:ind w:firstLine="316" w:firstLineChars="131"/>
        <w:jc w:val="left"/>
        <w:rPr>
          <w:rFonts w:ascii="宋体" w:hAnsi="宋体" w:eastAsia="宋体" w:cs="宋体"/>
          <w:b/>
          <w:kern w:val="0"/>
          <w:sz w:val="24"/>
          <w:szCs w:val="24"/>
        </w:rPr>
      </w:pPr>
      <w:r>
        <w:rPr>
          <w:rFonts w:hint="eastAsia" w:ascii="宋体" w:hAnsi="宋体" w:eastAsia="宋体" w:cs="宋体"/>
          <w:b/>
          <w:kern w:val="0"/>
          <w:sz w:val="24"/>
          <w:szCs w:val="24"/>
        </w:rPr>
        <w:t>二、开户业务</w:t>
      </w:r>
    </w:p>
    <w:p>
      <w:pPr>
        <w:widowControl/>
        <w:spacing w:line="276" w:lineRule="auto"/>
        <w:ind w:firstLine="275" w:firstLineChars="131"/>
        <w:rPr>
          <w:rFonts w:ascii="宋体" w:hAnsi="宋体" w:eastAsia="宋体" w:cs="宋体"/>
          <w:kern w:val="0"/>
          <w:szCs w:val="21"/>
        </w:rPr>
      </w:pPr>
      <w:r>
        <w:rPr>
          <w:rFonts w:ascii="宋体" w:hAnsi="宋体" w:eastAsia="宋体" w:cs="宋体"/>
          <w:kern w:val="0"/>
          <w:szCs w:val="21"/>
        </w:rPr>
        <w:t>投资者</w:t>
      </w:r>
      <w:r>
        <w:rPr>
          <w:rFonts w:hint="eastAsia" w:ascii="宋体" w:hAnsi="宋体" w:eastAsia="宋体" w:cs="宋体"/>
          <w:kern w:val="0"/>
          <w:szCs w:val="21"/>
        </w:rPr>
        <w:t>在本公司</w:t>
      </w:r>
      <w:r>
        <w:rPr>
          <w:rFonts w:ascii="宋体" w:hAnsi="宋体" w:eastAsia="宋体" w:cs="宋体"/>
          <w:kern w:val="0"/>
          <w:szCs w:val="21"/>
        </w:rPr>
        <w:t>办理基金账户的开户手续</w:t>
      </w:r>
      <w:r>
        <w:rPr>
          <w:rFonts w:hint="eastAsia" w:ascii="宋体" w:hAnsi="宋体" w:eastAsia="宋体" w:cs="宋体"/>
          <w:kern w:val="0"/>
          <w:szCs w:val="21"/>
        </w:rPr>
        <w:t>应按照《直销柜台开户清单》中所列要求提供</w:t>
      </w:r>
      <w:r>
        <w:rPr>
          <w:rFonts w:ascii="宋体" w:hAnsi="宋体" w:eastAsia="宋体" w:cs="宋体"/>
          <w:kern w:val="0"/>
          <w:szCs w:val="21"/>
        </w:rPr>
        <w:t>真实、准确、完整</w:t>
      </w:r>
      <w:r>
        <w:rPr>
          <w:rFonts w:hint="eastAsia" w:ascii="宋体" w:hAnsi="宋体" w:eastAsia="宋体" w:cs="宋体"/>
          <w:kern w:val="0"/>
          <w:szCs w:val="21"/>
        </w:rPr>
        <w:t>的开户资料。</w:t>
      </w:r>
    </w:p>
    <w:p>
      <w:pPr>
        <w:widowControl/>
        <w:spacing w:line="276" w:lineRule="auto"/>
        <w:ind w:left="275" w:leftChars="131"/>
        <w:jc w:val="left"/>
        <w:rPr>
          <w:rFonts w:ascii="宋体" w:hAnsi="宋体" w:eastAsia="宋体" w:cs="宋体"/>
          <w:b/>
          <w:kern w:val="0"/>
          <w:sz w:val="24"/>
          <w:szCs w:val="24"/>
        </w:rPr>
      </w:pPr>
      <w:r>
        <w:rPr>
          <w:rFonts w:hint="eastAsia" w:ascii="宋体" w:hAnsi="宋体" w:eastAsia="宋体" w:cs="宋体"/>
          <w:b/>
          <w:kern w:val="0"/>
          <w:sz w:val="24"/>
          <w:szCs w:val="24"/>
        </w:rPr>
        <w:t>三、资料变更业务</w:t>
      </w:r>
    </w:p>
    <w:p>
      <w:pPr>
        <w:widowControl/>
        <w:spacing w:line="276" w:lineRule="auto"/>
        <w:ind w:firstLine="275" w:firstLineChars="131"/>
        <w:rPr>
          <w:rFonts w:ascii="宋体" w:hAnsi="宋体" w:eastAsia="宋体" w:cs="宋体"/>
          <w:bCs/>
          <w:kern w:val="0"/>
          <w:szCs w:val="21"/>
        </w:rPr>
      </w:pPr>
      <w:r>
        <w:rPr>
          <w:rFonts w:hint="eastAsia" w:ascii="宋体" w:hAnsi="宋体" w:eastAsia="宋体" w:cs="宋体"/>
          <w:bCs/>
          <w:kern w:val="0"/>
          <w:szCs w:val="21"/>
        </w:rPr>
        <w:t>投资者应根据资料变更业务类型提供相关资料，涉及多项内容同时办理的可合并提供资料，相关表单应根据表单内提示签字/盖章，相关证明材料应加盖公章）</w:t>
      </w:r>
    </w:p>
    <w:p>
      <w:pPr>
        <w:pStyle w:val="14"/>
        <w:widowControl/>
        <w:spacing w:line="276" w:lineRule="auto"/>
        <w:ind w:firstLine="276" w:firstLineChars="131"/>
        <w:rPr>
          <w:rFonts w:hint="default" w:ascii="宋体" w:hAnsi="宋体" w:eastAsia="宋体"/>
          <w:b/>
          <w:bCs/>
          <w:kern w:val="2"/>
          <w:sz w:val="21"/>
          <w:szCs w:val="21"/>
        </w:rPr>
      </w:pPr>
      <w:r>
        <w:rPr>
          <w:rFonts w:hint="default" w:ascii="Times New Roman" w:hAnsi="Times New Roman" w:eastAsia="宋体"/>
          <w:b/>
          <w:bCs/>
          <w:kern w:val="2"/>
          <w:sz w:val="21"/>
          <w:szCs w:val="21"/>
        </w:rPr>
        <w:t>1</w:t>
      </w:r>
      <w:r>
        <w:rPr>
          <w:rFonts w:ascii="宋体" w:hAnsi="宋体" w:eastAsia="宋体"/>
          <w:b/>
          <w:bCs/>
          <w:kern w:val="2"/>
          <w:sz w:val="21"/>
          <w:szCs w:val="21"/>
        </w:rPr>
        <w:t xml:space="preserve">、变更授权经办人 </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)《账户类业务申请表》-机构/产品版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)新的《业务授权委托书》</w:t>
      </w:r>
    </w:p>
    <w:p>
      <w:pPr>
        <w:pStyle w:val="14"/>
        <w:widowControl/>
        <w:spacing w:line="276" w:lineRule="auto"/>
        <w:ind w:firstLine="275" w:firstLineChars="131"/>
        <w:rPr>
          <w:rFonts w:hint="default" w:ascii="宋体" w:hAnsi="宋体" w:eastAsia="宋体"/>
          <w:kern w:val="2"/>
          <w:sz w:val="21"/>
          <w:szCs w:val="21"/>
        </w:rPr>
      </w:pPr>
      <w:r>
        <w:rPr>
          <w:rFonts w:hint="default" w:ascii="Times New Roman" w:hAnsi="Times New Roman" w:eastAsia="宋体"/>
          <w:kern w:val="2"/>
          <w:sz w:val="21"/>
          <w:szCs w:val="21"/>
        </w:rPr>
        <w:t>3</w:t>
      </w:r>
      <w:r>
        <w:rPr>
          <w:rFonts w:ascii="宋体" w:hAnsi="宋体" w:eastAsia="宋体"/>
          <w:kern w:val="2"/>
          <w:sz w:val="21"/>
          <w:szCs w:val="21"/>
        </w:rPr>
        <w:t>)新经办人有效身份证件复印件</w:t>
      </w:r>
    </w:p>
    <w:p>
      <w:pPr>
        <w:pStyle w:val="14"/>
        <w:widowControl/>
        <w:spacing w:line="276" w:lineRule="auto"/>
        <w:ind w:firstLine="276" w:firstLineChars="131"/>
        <w:rPr>
          <w:rFonts w:hint="default" w:ascii="宋体" w:hAnsi="宋体" w:eastAsia="宋体"/>
          <w:b/>
          <w:bCs/>
          <w:kern w:val="2"/>
          <w:sz w:val="21"/>
          <w:szCs w:val="21"/>
        </w:rPr>
      </w:pPr>
      <w:r>
        <w:rPr>
          <w:rFonts w:hint="default" w:ascii="Times New Roman" w:hAnsi="Times New Roman" w:eastAsia="宋体"/>
          <w:b/>
          <w:bCs/>
          <w:kern w:val="2"/>
          <w:sz w:val="21"/>
          <w:szCs w:val="21"/>
        </w:rPr>
        <w:t>2</w:t>
      </w:r>
      <w:r>
        <w:rPr>
          <w:rFonts w:ascii="宋体" w:hAnsi="宋体" w:eastAsia="宋体"/>
          <w:b/>
          <w:bCs/>
          <w:kern w:val="2"/>
          <w:sz w:val="21"/>
          <w:szCs w:val="21"/>
        </w:rPr>
        <w:t>、变更法定代表人</w:t>
      </w:r>
    </w:p>
    <w:p>
      <w:pPr>
        <w:pStyle w:val="14"/>
        <w:widowControl/>
        <w:spacing w:line="276" w:lineRule="auto"/>
        <w:ind w:firstLine="275" w:firstLineChars="131"/>
        <w:rPr>
          <w:rFonts w:hint="default" w:ascii="宋体" w:hAnsi="宋体" w:eastAsia="宋体"/>
          <w:kern w:val="2"/>
          <w:sz w:val="21"/>
          <w:szCs w:val="21"/>
        </w:rPr>
      </w:pPr>
      <w:r>
        <w:rPr>
          <w:rFonts w:hint="default" w:ascii="Times New Roman" w:hAnsi="Times New Roman" w:eastAsia="宋体"/>
          <w:kern w:val="2"/>
          <w:sz w:val="21"/>
          <w:szCs w:val="21"/>
        </w:rPr>
        <w:t>1</w:t>
      </w:r>
      <w:r>
        <w:rPr>
          <w:rFonts w:ascii="宋体" w:hAnsi="宋体" w:eastAsia="宋体"/>
          <w:kern w:val="2"/>
          <w:sz w:val="21"/>
          <w:szCs w:val="21"/>
        </w:rPr>
        <w:t>）《账户类业务申请表》-机构/产品版</w:t>
      </w:r>
    </w:p>
    <w:p>
      <w:pPr>
        <w:pStyle w:val="14"/>
        <w:widowControl/>
        <w:spacing w:line="276" w:lineRule="auto"/>
        <w:ind w:firstLine="275" w:firstLineChars="131"/>
        <w:rPr>
          <w:rFonts w:hint="default" w:ascii="宋体" w:hAnsi="宋体" w:eastAsia="宋体"/>
          <w:kern w:val="2"/>
          <w:sz w:val="21"/>
          <w:szCs w:val="21"/>
        </w:rPr>
      </w:pPr>
      <w:r>
        <w:rPr>
          <w:rFonts w:hint="default" w:ascii="Times New Roman" w:hAnsi="Times New Roman" w:eastAsia="宋体"/>
          <w:kern w:val="2"/>
          <w:sz w:val="21"/>
          <w:szCs w:val="21"/>
        </w:rPr>
        <w:t>2</w:t>
      </w:r>
      <w:r>
        <w:rPr>
          <w:rFonts w:ascii="宋体" w:hAnsi="宋体" w:eastAsia="宋体"/>
          <w:kern w:val="2"/>
          <w:sz w:val="21"/>
          <w:szCs w:val="21"/>
        </w:rPr>
        <w:t>）新的《业务授权委托书》</w:t>
      </w:r>
    </w:p>
    <w:p>
      <w:pPr>
        <w:pStyle w:val="14"/>
        <w:widowControl/>
        <w:spacing w:line="276" w:lineRule="auto"/>
        <w:ind w:firstLine="275" w:firstLineChars="131"/>
        <w:rPr>
          <w:rFonts w:hint="default" w:ascii="宋体" w:hAnsi="宋体" w:eastAsia="宋体"/>
          <w:kern w:val="2"/>
          <w:sz w:val="21"/>
          <w:szCs w:val="21"/>
        </w:rPr>
      </w:pPr>
      <w:r>
        <w:rPr>
          <w:rFonts w:hint="default" w:ascii="Times New Roman" w:hAnsi="Times New Roman" w:eastAsia="宋体"/>
          <w:kern w:val="2"/>
          <w:sz w:val="21"/>
          <w:szCs w:val="21"/>
        </w:rPr>
        <w:t>3</w:t>
      </w:r>
      <w:r>
        <w:rPr>
          <w:rFonts w:ascii="宋体" w:hAnsi="宋体" w:eastAsia="宋体"/>
          <w:kern w:val="2"/>
          <w:sz w:val="21"/>
          <w:szCs w:val="21"/>
        </w:rPr>
        <w:t>）最新营业执照或注册登记证书等开户证件复印件</w:t>
      </w:r>
    </w:p>
    <w:p>
      <w:pPr>
        <w:pStyle w:val="14"/>
        <w:widowControl/>
        <w:spacing w:line="276" w:lineRule="auto"/>
        <w:ind w:firstLine="275" w:firstLineChars="131"/>
        <w:rPr>
          <w:rFonts w:hint="default" w:ascii="宋体" w:hAnsi="宋体" w:eastAsia="宋体"/>
          <w:kern w:val="2"/>
          <w:sz w:val="21"/>
          <w:szCs w:val="21"/>
        </w:rPr>
      </w:pPr>
      <w:r>
        <w:rPr>
          <w:rFonts w:hint="default" w:ascii="Times New Roman" w:hAnsi="Times New Roman" w:eastAsia="宋体"/>
          <w:kern w:val="2"/>
          <w:sz w:val="21"/>
          <w:szCs w:val="21"/>
        </w:rPr>
        <w:t>4</w:t>
      </w:r>
      <w:r>
        <w:rPr>
          <w:rFonts w:ascii="宋体" w:hAnsi="宋体" w:eastAsia="宋体"/>
          <w:kern w:val="2"/>
          <w:sz w:val="21"/>
          <w:szCs w:val="21"/>
        </w:rPr>
        <w:t>）法定代表人的有效身份证复印件</w:t>
      </w:r>
    </w:p>
    <w:p>
      <w:pPr>
        <w:pStyle w:val="14"/>
        <w:widowControl/>
        <w:spacing w:line="276" w:lineRule="auto"/>
        <w:ind w:firstLine="275" w:firstLineChars="131"/>
        <w:rPr>
          <w:rFonts w:hint="default" w:ascii="宋体" w:hAnsi="宋体" w:eastAsia="宋体"/>
          <w:kern w:val="2"/>
          <w:sz w:val="21"/>
          <w:szCs w:val="21"/>
        </w:rPr>
      </w:pPr>
      <w:r>
        <w:rPr>
          <w:rFonts w:hint="default" w:ascii="Times New Roman" w:hAnsi="Times New Roman" w:eastAsia="宋体"/>
          <w:kern w:val="2"/>
          <w:sz w:val="21"/>
          <w:szCs w:val="21"/>
        </w:rPr>
        <w:t>5</w:t>
      </w:r>
      <w:r>
        <w:rPr>
          <w:rFonts w:ascii="宋体" w:hAnsi="宋体" w:eastAsia="宋体"/>
          <w:kern w:val="2"/>
          <w:sz w:val="21"/>
          <w:szCs w:val="21"/>
        </w:rPr>
        <w:t>）授权经办人的有效身份证复印件</w:t>
      </w:r>
    </w:p>
    <w:p>
      <w:pPr>
        <w:pStyle w:val="14"/>
        <w:widowControl/>
        <w:spacing w:line="276" w:lineRule="auto"/>
        <w:ind w:firstLine="275" w:firstLineChars="131"/>
        <w:rPr>
          <w:rFonts w:hint="default" w:ascii="宋体" w:hAnsi="宋体" w:eastAsia="宋体"/>
          <w:kern w:val="2"/>
          <w:sz w:val="21"/>
          <w:szCs w:val="21"/>
        </w:rPr>
      </w:pPr>
      <w:r>
        <w:rPr>
          <w:rFonts w:hint="default" w:ascii="Times New Roman" w:hAnsi="Times New Roman" w:eastAsia="宋体"/>
          <w:kern w:val="2"/>
          <w:sz w:val="21"/>
          <w:szCs w:val="21"/>
        </w:rPr>
        <w:t>6</w:t>
      </w:r>
      <w:r>
        <w:rPr>
          <w:rFonts w:ascii="宋体" w:hAnsi="宋体" w:eastAsia="宋体"/>
          <w:kern w:val="2"/>
          <w:sz w:val="21"/>
          <w:szCs w:val="21"/>
        </w:rPr>
        <w:t>）受益所有人证明材料（受益所有人未变更的除外）</w:t>
      </w:r>
    </w:p>
    <w:p>
      <w:pPr>
        <w:pStyle w:val="14"/>
        <w:widowControl/>
        <w:spacing w:line="276" w:lineRule="auto"/>
        <w:ind w:firstLine="275" w:firstLineChars="131"/>
        <w:rPr>
          <w:rFonts w:hint="default" w:ascii="宋体" w:hAnsi="宋体" w:eastAsia="宋体"/>
          <w:kern w:val="2"/>
          <w:sz w:val="21"/>
          <w:szCs w:val="21"/>
        </w:rPr>
      </w:pPr>
      <w:r>
        <w:rPr>
          <w:rFonts w:hint="default" w:ascii="Times New Roman" w:hAnsi="Times New Roman" w:eastAsia="宋体"/>
          <w:kern w:val="2"/>
          <w:sz w:val="21"/>
          <w:szCs w:val="21"/>
        </w:rPr>
        <w:t>7</w:t>
      </w:r>
      <w:r>
        <w:rPr>
          <w:rFonts w:ascii="宋体" w:hAnsi="宋体" w:eastAsia="宋体"/>
          <w:kern w:val="2"/>
          <w:sz w:val="21"/>
          <w:szCs w:val="21"/>
        </w:rPr>
        <w:t>）金融业务资格证明文件（仅金融机构提供）</w:t>
      </w:r>
    </w:p>
    <w:p>
      <w:pPr>
        <w:pStyle w:val="14"/>
        <w:widowControl/>
        <w:spacing w:line="276" w:lineRule="auto"/>
        <w:ind w:firstLine="276" w:firstLineChars="131"/>
        <w:rPr>
          <w:rFonts w:hint="default" w:ascii="宋体" w:hAnsi="宋体" w:eastAsia="宋体"/>
          <w:b/>
          <w:bCs/>
          <w:kern w:val="2"/>
          <w:sz w:val="21"/>
          <w:szCs w:val="21"/>
        </w:rPr>
      </w:pPr>
      <w:r>
        <w:rPr>
          <w:rFonts w:hint="default" w:ascii="Times New Roman" w:hAnsi="Times New Roman" w:eastAsia="宋体"/>
          <w:b/>
          <w:bCs/>
          <w:kern w:val="2"/>
          <w:sz w:val="21"/>
          <w:szCs w:val="21"/>
        </w:rPr>
        <w:t>3</w:t>
      </w:r>
      <w:r>
        <w:rPr>
          <w:rFonts w:ascii="宋体" w:hAnsi="宋体" w:eastAsia="宋体"/>
          <w:b/>
          <w:bCs/>
          <w:kern w:val="2"/>
          <w:sz w:val="21"/>
          <w:szCs w:val="21"/>
        </w:rPr>
        <w:t xml:space="preserve">、变更银行账户信息 </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）《账户类业务申请表》-机构/产品版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 xml:space="preserve">）新的银行账户信息证明文件 </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3</w:t>
      </w:r>
      <w:r>
        <w:rPr>
          <w:rFonts w:hint="eastAsia" w:ascii="宋体" w:hAnsi="宋体" w:eastAsia="宋体" w:cs="Times New Roman"/>
          <w:szCs w:val="21"/>
        </w:rPr>
        <w:t>）授权经办人有效身份证件复印件</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4</w:t>
      </w:r>
      <w:r>
        <w:rPr>
          <w:rFonts w:hint="eastAsia" w:ascii="宋体" w:hAnsi="宋体" w:eastAsia="宋体" w:cs="Times New Roman"/>
          <w:szCs w:val="21"/>
        </w:rPr>
        <w:t>）如账户内持有份额还应提供银行账户变更证明或说明文件</w:t>
      </w:r>
    </w:p>
    <w:p>
      <w:pPr>
        <w:pStyle w:val="14"/>
        <w:widowControl/>
        <w:spacing w:line="276" w:lineRule="auto"/>
        <w:ind w:firstLine="276" w:firstLineChars="131"/>
        <w:rPr>
          <w:rFonts w:hint="default" w:ascii="宋体" w:hAnsi="宋体" w:eastAsia="宋体"/>
          <w:b/>
          <w:bCs/>
          <w:kern w:val="2"/>
          <w:sz w:val="21"/>
          <w:szCs w:val="21"/>
        </w:rPr>
      </w:pPr>
      <w:r>
        <w:rPr>
          <w:rFonts w:hint="default" w:ascii="Times New Roman" w:hAnsi="Times New Roman" w:eastAsia="宋体"/>
          <w:b/>
          <w:bCs/>
          <w:kern w:val="2"/>
          <w:sz w:val="21"/>
          <w:szCs w:val="21"/>
        </w:rPr>
        <w:t>4</w:t>
      </w:r>
      <w:r>
        <w:rPr>
          <w:rFonts w:ascii="宋体" w:hAnsi="宋体" w:eastAsia="宋体"/>
          <w:b/>
          <w:bCs/>
          <w:kern w:val="2"/>
          <w:sz w:val="21"/>
          <w:szCs w:val="21"/>
        </w:rPr>
        <w:t xml:space="preserve">、变更投资人名称 </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）《账户类业务申请表》-机构/产品版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）新的《机构客户印鉴卡》</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3</w:t>
      </w:r>
      <w:r>
        <w:rPr>
          <w:rFonts w:hint="eastAsia" w:ascii="宋体" w:hAnsi="宋体" w:eastAsia="宋体" w:cs="Times New Roman"/>
          <w:szCs w:val="21"/>
        </w:rPr>
        <w:t>）新的《业务授权委托书》</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4</w:t>
      </w:r>
      <w:r>
        <w:rPr>
          <w:rFonts w:hint="eastAsia" w:ascii="宋体" w:hAnsi="宋体" w:eastAsia="宋体" w:cs="Times New Roman"/>
          <w:szCs w:val="21"/>
        </w:rPr>
        <w:t>）法定代表人的有效身份证件复印件</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5</w:t>
      </w:r>
      <w:r>
        <w:rPr>
          <w:rFonts w:hint="eastAsia" w:ascii="宋体" w:hAnsi="宋体" w:eastAsia="宋体" w:cs="Times New Roman"/>
          <w:szCs w:val="21"/>
        </w:rPr>
        <w:t>）授权经办人有效身份证件复印件</w:t>
      </w:r>
    </w:p>
    <w:p>
      <w:pPr>
        <w:pStyle w:val="14"/>
        <w:widowControl/>
        <w:spacing w:line="276" w:lineRule="auto"/>
        <w:ind w:firstLine="275" w:firstLineChars="131"/>
        <w:rPr>
          <w:rFonts w:hint="default" w:ascii="宋体" w:hAnsi="宋体" w:eastAsia="宋体"/>
          <w:kern w:val="2"/>
          <w:sz w:val="21"/>
          <w:szCs w:val="21"/>
        </w:rPr>
      </w:pPr>
      <w:r>
        <w:rPr>
          <w:rFonts w:hint="default" w:ascii="Times New Roman" w:hAnsi="Times New Roman" w:eastAsia="宋体"/>
          <w:kern w:val="2"/>
          <w:sz w:val="21"/>
          <w:szCs w:val="21"/>
        </w:rPr>
        <w:t>6</w:t>
      </w:r>
      <w:r>
        <w:rPr>
          <w:rFonts w:ascii="宋体" w:hAnsi="宋体" w:eastAsia="宋体"/>
          <w:kern w:val="2"/>
          <w:sz w:val="21"/>
          <w:szCs w:val="21"/>
        </w:rPr>
        <w:t>）最新营业执照或注册登记证书等开户证件复印件</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7</w:t>
      </w:r>
      <w:r>
        <w:rPr>
          <w:rFonts w:hint="eastAsia" w:ascii="宋体" w:hAnsi="宋体" w:eastAsia="宋体" w:cs="Times New Roman"/>
          <w:szCs w:val="21"/>
        </w:rPr>
        <w:t>）相关登记机关提供的变更证明或机构出具的变更说明函</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8</w:t>
      </w:r>
      <w:r>
        <w:rPr>
          <w:rFonts w:hint="eastAsia" w:ascii="宋体" w:hAnsi="宋体" w:eastAsia="宋体" w:cs="Times New Roman"/>
          <w:szCs w:val="21"/>
        </w:rPr>
        <w:t>）银行账户信息的证明文件</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9</w:t>
      </w:r>
      <w:r>
        <w:rPr>
          <w:rFonts w:hint="eastAsia" w:ascii="宋体" w:hAnsi="宋体" w:eastAsia="宋体" w:cs="Times New Roman"/>
          <w:szCs w:val="21"/>
        </w:rPr>
        <w:t>）受益所有人证明材料</w:t>
      </w:r>
    </w:p>
    <w:p>
      <w:pPr>
        <w:pStyle w:val="14"/>
        <w:widowControl/>
        <w:spacing w:line="276" w:lineRule="auto"/>
        <w:ind w:firstLine="275" w:firstLineChars="131"/>
        <w:rPr>
          <w:rFonts w:hint="default" w:ascii="宋体" w:hAnsi="宋体" w:eastAsia="宋体"/>
          <w:kern w:val="2"/>
          <w:sz w:val="21"/>
          <w:szCs w:val="21"/>
        </w:rPr>
      </w:pPr>
      <w:r>
        <w:rPr>
          <w:rFonts w:hint="default" w:ascii="Times New Roman" w:hAnsi="Times New Roman" w:eastAsia="宋体"/>
          <w:kern w:val="2"/>
          <w:sz w:val="21"/>
          <w:szCs w:val="21"/>
        </w:rPr>
        <w:t>10</w:t>
      </w:r>
      <w:r>
        <w:rPr>
          <w:rFonts w:ascii="宋体" w:hAnsi="宋体" w:eastAsia="宋体"/>
          <w:kern w:val="2"/>
          <w:sz w:val="21"/>
          <w:szCs w:val="21"/>
        </w:rPr>
        <w:t>）金融业务资格证明文件（仅金融机构提供）</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11</w:t>
      </w:r>
      <w:r>
        <w:rPr>
          <w:rFonts w:hint="eastAsia" w:ascii="宋体" w:hAnsi="宋体" w:eastAsia="宋体" w:cs="Times New Roman"/>
          <w:szCs w:val="21"/>
        </w:rPr>
        <w:t>）其他涉及原投资人名称的材料或含有新公司承继原公司权利义务的说明</w:t>
      </w:r>
    </w:p>
    <w:p>
      <w:pPr>
        <w:spacing w:line="276" w:lineRule="auto"/>
        <w:ind w:firstLine="276" w:firstLineChars="131"/>
        <w:rPr>
          <w:rFonts w:ascii="宋体" w:hAnsi="宋体" w:eastAsia="宋体" w:cs="Times New Roman"/>
          <w:b/>
          <w:bCs/>
          <w:szCs w:val="21"/>
        </w:rPr>
      </w:pPr>
      <w:r>
        <w:rPr>
          <w:rFonts w:hint="default" w:ascii="Times New Roman" w:hAnsi="Times New Roman" w:eastAsia="宋体" w:cs="Times New Roman"/>
          <w:b/>
          <w:bCs/>
          <w:szCs w:val="21"/>
        </w:rPr>
        <w:t>5</w:t>
      </w:r>
      <w:r>
        <w:rPr>
          <w:rFonts w:hint="eastAsia" w:ascii="宋体" w:hAnsi="宋体" w:eastAsia="宋体" w:cs="Times New Roman"/>
          <w:b/>
          <w:bCs/>
          <w:szCs w:val="21"/>
        </w:rPr>
        <w:t>、变更开户证件</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）《账户类业务申请表》-机构/产品版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）授权经办人有效身份证件复印件</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3</w:t>
      </w:r>
      <w:r>
        <w:rPr>
          <w:rFonts w:hint="eastAsia" w:ascii="宋体" w:hAnsi="宋体" w:eastAsia="宋体" w:cs="Times New Roman"/>
          <w:szCs w:val="21"/>
        </w:rPr>
        <w:t>）新的营业执照或注册登记证书等开户证件复印件</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4</w:t>
      </w:r>
      <w:r>
        <w:rPr>
          <w:rFonts w:hint="eastAsia" w:ascii="宋体" w:hAnsi="宋体" w:eastAsia="宋体" w:cs="Times New Roman"/>
          <w:szCs w:val="21"/>
        </w:rPr>
        <w:t>）登记机关等相关机构出具的变更证明或机构出具的变更说明函</w:t>
      </w:r>
    </w:p>
    <w:p>
      <w:pPr>
        <w:pStyle w:val="14"/>
        <w:widowControl/>
        <w:spacing w:line="276" w:lineRule="auto"/>
        <w:ind w:firstLine="276" w:firstLineChars="131"/>
        <w:rPr>
          <w:rFonts w:hint="default" w:ascii="宋体" w:hAnsi="宋体" w:eastAsia="宋体"/>
          <w:b/>
          <w:bCs/>
          <w:kern w:val="2"/>
          <w:sz w:val="21"/>
          <w:szCs w:val="21"/>
        </w:rPr>
      </w:pPr>
      <w:r>
        <w:rPr>
          <w:rFonts w:hint="default" w:ascii="Times New Roman" w:hAnsi="Times New Roman" w:eastAsia="宋体"/>
          <w:b/>
          <w:bCs/>
          <w:kern w:val="2"/>
          <w:sz w:val="21"/>
          <w:szCs w:val="21"/>
        </w:rPr>
        <w:t>6</w:t>
      </w:r>
      <w:r>
        <w:rPr>
          <w:rFonts w:ascii="宋体" w:hAnsi="宋体" w:eastAsia="宋体"/>
          <w:b/>
          <w:bCs/>
          <w:kern w:val="2"/>
          <w:sz w:val="21"/>
          <w:szCs w:val="21"/>
        </w:rPr>
        <w:t>、变更预留印鉴</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）新的《机构客户印鉴卡》</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 xml:space="preserve">）授权经办人有效身份证件复印件 </w:t>
      </w:r>
    </w:p>
    <w:p>
      <w:pPr>
        <w:spacing w:line="276" w:lineRule="auto"/>
        <w:ind w:firstLine="276" w:firstLineChars="131"/>
        <w:rPr>
          <w:rFonts w:ascii="宋体" w:hAnsi="宋体" w:eastAsia="宋体" w:cs="Times New Roman"/>
          <w:b/>
          <w:bCs/>
          <w:szCs w:val="21"/>
        </w:rPr>
      </w:pPr>
      <w:r>
        <w:rPr>
          <w:rFonts w:hint="default" w:ascii="Times New Roman" w:hAnsi="Times New Roman" w:eastAsia="宋体" w:cs="Times New Roman"/>
          <w:b/>
          <w:bCs/>
          <w:szCs w:val="21"/>
        </w:rPr>
        <w:t>7</w:t>
      </w:r>
      <w:r>
        <w:rPr>
          <w:rFonts w:hint="eastAsia" w:ascii="宋体" w:hAnsi="宋体" w:eastAsia="宋体" w:cs="Times New Roman"/>
          <w:b/>
          <w:bCs/>
          <w:szCs w:val="21"/>
        </w:rPr>
        <w:t>、变更受益所有人</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）《账户类业务申请表》-机构/产品版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）授权经办人的有效身份证复印件</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3</w:t>
      </w:r>
      <w:r>
        <w:rPr>
          <w:rFonts w:hint="eastAsia" w:ascii="宋体" w:hAnsi="宋体" w:eastAsia="宋体" w:cs="Times New Roman"/>
          <w:szCs w:val="21"/>
        </w:rPr>
        <w:t>）受益所有人证明材料</w:t>
      </w:r>
    </w:p>
    <w:p>
      <w:pPr>
        <w:spacing w:line="276" w:lineRule="auto"/>
        <w:ind w:firstLine="276" w:firstLineChars="131"/>
        <w:rPr>
          <w:rFonts w:ascii="宋体" w:hAnsi="宋体" w:eastAsia="宋体" w:cs="Times New Roman"/>
          <w:b/>
          <w:bCs/>
          <w:szCs w:val="21"/>
        </w:rPr>
      </w:pPr>
      <w:r>
        <w:rPr>
          <w:rFonts w:hint="default" w:ascii="Times New Roman" w:hAnsi="Times New Roman" w:eastAsia="宋体" w:cs="Times New Roman"/>
          <w:b/>
          <w:bCs/>
          <w:szCs w:val="21"/>
        </w:rPr>
        <w:t>8</w:t>
      </w:r>
      <w:r>
        <w:rPr>
          <w:rFonts w:hint="eastAsia" w:ascii="宋体" w:hAnsi="宋体" w:eastAsia="宋体" w:cs="Times New Roman"/>
          <w:b/>
          <w:bCs/>
          <w:szCs w:val="21"/>
        </w:rPr>
        <w:t>、变更公章</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）《账户类业务申请表》-机构/产品版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）变更公章的说明（投资人根据实际情况拟定具体内容但应包含新公章承继原公章授权资料为有效授权等相关内容）或比照新开户使用新公章提供全部资料</w:t>
      </w:r>
    </w:p>
    <w:p>
      <w:pPr>
        <w:spacing w:line="276" w:lineRule="auto"/>
        <w:ind w:firstLine="276" w:firstLineChars="131"/>
        <w:rPr>
          <w:rFonts w:ascii="宋体" w:hAnsi="宋体" w:eastAsia="宋体" w:cs="Times New Roman"/>
          <w:b/>
          <w:bCs/>
          <w:szCs w:val="21"/>
        </w:rPr>
      </w:pPr>
      <w:r>
        <w:rPr>
          <w:rFonts w:hint="default" w:ascii="Times New Roman" w:hAnsi="Times New Roman" w:eastAsia="宋体" w:cs="Times New Roman"/>
          <w:b/>
          <w:bCs/>
          <w:szCs w:val="21"/>
        </w:rPr>
        <w:t>9</w:t>
      </w:r>
      <w:r>
        <w:rPr>
          <w:rFonts w:hint="eastAsia" w:ascii="宋体" w:hAnsi="宋体" w:eastAsia="宋体" w:cs="Times New Roman"/>
          <w:b/>
          <w:bCs/>
          <w:szCs w:val="21"/>
        </w:rPr>
        <w:t>、变更其他一般信息</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）《账户类业务申请表》-机构/产品版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）授权经办人的有效身份证复印件</w:t>
      </w:r>
    </w:p>
    <w:p>
      <w:pPr>
        <w:widowControl/>
        <w:spacing w:line="276" w:lineRule="auto"/>
        <w:ind w:firstLine="316" w:firstLineChars="131"/>
        <w:jc w:val="left"/>
        <w:rPr>
          <w:rFonts w:ascii="宋体" w:hAnsi="宋体" w:eastAsia="宋体" w:cs="宋体"/>
          <w:b/>
          <w:kern w:val="0"/>
          <w:sz w:val="24"/>
          <w:szCs w:val="24"/>
        </w:rPr>
      </w:pPr>
      <w:r>
        <w:rPr>
          <w:rFonts w:hint="eastAsia" w:ascii="宋体" w:hAnsi="宋体" w:eastAsia="宋体" w:cs="宋体"/>
          <w:b/>
          <w:kern w:val="0"/>
          <w:sz w:val="24"/>
          <w:szCs w:val="24"/>
        </w:rPr>
        <w:t>四、销户业务</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投资者申请销户前，应检查账户信息有无更新，如涉及账户资料更新应先参照本指引第三项资料变更业务提供相关资料完成账户资料变更后再行销户，销户及资料修改可合并提供资料，但需资料变更确认后发起销户。</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如账户资料无更新，需提供如下资料申请销户，相关表单应根据表单内提示签字/盖章，相关证明材料应加盖公章</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）《账户类业务申请表》-机构/产品版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）营业执照或注册登记证等开户证件复印件</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3</w:t>
      </w:r>
      <w:r>
        <w:rPr>
          <w:rFonts w:hint="eastAsia" w:ascii="宋体" w:hAnsi="宋体" w:eastAsia="宋体" w:cs="Times New Roman"/>
          <w:szCs w:val="21"/>
        </w:rPr>
        <w:t>）授权经办人有效身份证件复印件</w:t>
      </w:r>
    </w:p>
    <w:p>
      <w:pPr>
        <w:widowControl/>
        <w:spacing w:line="276" w:lineRule="auto"/>
        <w:ind w:firstLine="316" w:firstLineChars="131"/>
        <w:jc w:val="left"/>
        <w:rPr>
          <w:rFonts w:ascii="宋体" w:hAnsi="宋体" w:eastAsia="宋体" w:cs="宋体"/>
          <w:b/>
          <w:kern w:val="0"/>
          <w:sz w:val="24"/>
          <w:szCs w:val="24"/>
        </w:rPr>
      </w:pPr>
      <w:r>
        <w:rPr>
          <w:rFonts w:hint="eastAsia" w:ascii="宋体" w:hAnsi="宋体" w:eastAsia="宋体" w:cs="宋体"/>
          <w:b/>
          <w:kern w:val="0"/>
          <w:sz w:val="24"/>
          <w:szCs w:val="24"/>
        </w:rPr>
        <w:t>五、交易类业务：</w:t>
      </w:r>
    </w:p>
    <w:p>
      <w:pPr>
        <w:spacing w:line="276" w:lineRule="auto"/>
        <w:ind w:firstLine="276" w:firstLineChars="131"/>
        <w:rPr>
          <w:rFonts w:ascii="宋体" w:hAnsi="宋体" w:eastAsia="宋体" w:cs="Times New Roman"/>
          <w:b/>
          <w:bCs/>
          <w:szCs w:val="21"/>
        </w:rPr>
      </w:pPr>
      <w:r>
        <w:rPr>
          <w:rFonts w:hint="eastAsia" w:ascii="宋体" w:hAnsi="宋体" w:eastAsia="宋体" w:cs="Times New Roman"/>
          <w:b/>
          <w:bCs/>
          <w:szCs w:val="21"/>
        </w:rPr>
        <w:t>（一）认/申购款：</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、投资者申请认（申）购本公司产品，相关申请款项应在申请日</w:t>
      </w:r>
      <w:r>
        <w:rPr>
          <w:rFonts w:hint="default" w:ascii="Times New Roman" w:hAnsi="Times New Roman" w:eastAsia="宋体" w:cs="Times New Roman"/>
          <w:szCs w:val="21"/>
        </w:rPr>
        <w:t>15</w:t>
      </w:r>
      <w:r>
        <w:rPr>
          <w:rFonts w:hint="eastAsia" w:ascii="宋体" w:hAnsi="宋体" w:eastAsia="宋体" w:cs="Times New Roman"/>
          <w:szCs w:val="21"/>
        </w:rPr>
        <w:t>：</w:t>
      </w:r>
      <w:r>
        <w:rPr>
          <w:rFonts w:hint="default" w:ascii="Times New Roman" w:hAnsi="Times New Roman" w:eastAsia="宋体" w:cs="Times New Roman"/>
          <w:szCs w:val="21"/>
        </w:rPr>
        <w:t>00</w:t>
      </w:r>
      <w:r>
        <w:rPr>
          <w:rFonts w:hint="eastAsia" w:ascii="宋体" w:hAnsi="宋体" w:eastAsia="宋体" w:cs="Times New Roman"/>
          <w:szCs w:val="21"/>
        </w:rPr>
        <w:t>（认购</w:t>
      </w:r>
      <w:r>
        <w:rPr>
          <w:rFonts w:hint="default" w:ascii="Times New Roman" w:hAnsi="Times New Roman" w:eastAsia="宋体" w:cs="Times New Roman"/>
          <w:szCs w:val="21"/>
        </w:rPr>
        <w:t>17</w:t>
      </w:r>
      <w:r>
        <w:rPr>
          <w:rFonts w:hint="eastAsia" w:ascii="宋体" w:hAnsi="宋体" w:eastAsia="宋体" w:cs="Times New Roman"/>
          <w:szCs w:val="21"/>
        </w:rPr>
        <w:t>：</w:t>
      </w:r>
      <w:r>
        <w:rPr>
          <w:rFonts w:hint="default" w:ascii="Times New Roman" w:hAnsi="Times New Roman" w:eastAsia="宋体" w:cs="Times New Roman"/>
          <w:szCs w:val="21"/>
        </w:rPr>
        <w:t>00</w:t>
      </w:r>
      <w:r>
        <w:rPr>
          <w:rFonts w:hint="eastAsia" w:ascii="宋体" w:hAnsi="宋体" w:eastAsia="宋体" w:cs="Times New Roman"/>
          <w:szCs w:val="21"/>
        </w:rPr>
        <w:t>）前足额划转至本公司指定直销专户；本公司不接受除银行转账以外的其它缴款方式。</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、直销专用银行账户</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渤海汇金直销</w:t>
      </w:r>
      <w:r>
        <w:rPr>
          <w:rFonts w:hint="eastAsia" w:ascii="宋体" w:hAnsi="宋体" w:eastAsia="宋体" w:cs="Times New Roman"/>
          <w:b/>
          <w:bCs/>
          <w:color w:val="FF0000"/>
          <w:szCs w:val="21"/>
        </w:rPr>
        <w:t>公募基金</w:t>
      </w:r>
      <w:r>
        <w:rPr>
          <w:rFonts w:hint="eastAsia" w:ascii="宋体" w:hAnsi="宋体" w:eastAsia="宋体" w:cs="Times New Roman"/>
          <w:szCs w:val="21"/>
        </w:rPr>
        <w:t>专用账户：</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账户名称：渤海汇金证券资产管理有限公司</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开户行：工行津西梅江支行</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 xml:space="preserve">银行账号： </w:t>
      </w:r>
      <w:r>
        <w:rPr>
          <w:rFonts w:hint="default" w:ascii="Times New Roman" w:hAnsi="Times New Roman" w:cs="Times New Roman"/>
        </w:rPr>
        <w:t>0302014429300023271</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大额支付号：</w:t>
      </w:r>
      <w:r>
        <w:rPr>
          <w:rFonts w:hint="default" w:ascii="Times New Roman" w:hAnsi="Times New Roman" w:cs="Times New Roman"/>
        </w:rPr>
        <w:t>102110001261</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渤海汇金直销</w:t>
      </w:r>
      <w:r>
        <w:rPr>
          <w:rFonts w:hint="eastAsia" w:ascii="宋体" w:hAnsi="宋体" w:eastAsia="宋体" w:cs="Times New Roman"/>
          <w:b/>
          <w:bCs/>
          <w:color w:val="FF0000"/>
          <w:szCs w:val="21"/>
        </w:rPr>
        <w:t>集合计划</w:t>
      </w:r>
      <w:r>
        <w:rPr>
          <w:rFonts w:hint="eastAsia" w:ascii="宋体" w:hAnsi="宋体" w:eastAsia="宋体" w:cs="Times New Roman"/>
          <w:szCs w:val="21"/>
        </w:rPr>
        <w:t>专用账户：</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账户名称：渤海汇金证券资产管理有限公司</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开户行：工行津西梅江支行</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 xml:space="preserve">银行账号： </w:t>
      </w:r>
      <w:r>
        <w:rPr>
          <w:rFonts w:hint="default" w:ascii="Times New Roman" w:hAnsi="Times New Roman" w:cs="Times New Roman"/>
        </w:rPr>
        <w:t>0302014429300014019</w:t>
      </w:r>
    </w:p>
    <w:p>
      <w:pPr>
        <w:spacing w:line="276" w:lineRule="auto"/>
        <w:ind w:firstLine="275" w:firstLineChars="131"/>
      </w:pPr>
      <w:r>
        <w:rPr>
          <w:rFonts w:hint="eastAsia" w:ascii="宋体" w:hAnsi="宋体" w:eastAsia="宋体" w:cs="Times New Roman"/>
          <w:szCs w:val="21"/>
        </w:rPr>
        <w:t>大额支付号：</w:t>
      </w:r>
      <w:r>
        <w:rPr>
          <w:rFonts w:hint="default" w:ascii="Times New Roman" w:hAnsi="Times New Roman" w:cs="Times New Roman"/>
        </w:rPr>
        <w:t>102110001261</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3</w:t>
      </w:r>
      <w:r>
        <w:rPr>
          <w:rFonts w:hint="eastAsia" w:ascii="宋体" w:hAnsi="宋体" w:eastAsia="宋体" w:cs="Times New Roman"/>
          <w:szCs w:val="21"/>
        </w:rPr>
        <w:t>、投资者若未按上述指定账户交付，造成认（申）购无效的，本公司及清算账户的开户银行将不承担任何责任。</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4</w:t>
      </w:r>
      <w:r>
        <w:rPr>
          <w:rFonts w:hint="eastAsia" w:ascii="宋体" w:hAnsi="宋体" w:eastAsia="宋体" w:cs="Times New Roman"/>
          <w:szCs w:val="21"/>
        </w:rPr>
        <w:t>、以下资金将被视为无效认/申购，款项退往投资者的来款账户</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w:t>
      </w:r>
      <w:r>
        <w:rPr>
          <w:rFonts w:hint="default" w:ascii="Times New Roman" w:hAnsi="Times New Roman" w:eastAsia="宋体" w:cs="Times New Roman"/>
          <w:szCs w:val="21"/>
        </w:rPr>
        <w:t>1</w:t>
      </w:r>
      <w:r>
        <w:rPr>
          <w:rFonts w:hint="eastAsia" w:ascii="宋体" w:hAnsi="宋体" w:eastAsia="宋体" w:cs="Times New Roman"/>
          <w:szCs w:val="21"/>
        </w:rPr>
        <w:t>） 投资者划来资金，但没有使用转账方式的</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w:t>
      </w:r>
      <w:r>
        <w:rPr>
          <w:rFonts w:hint="default" w:ascii="Times New Roman" w:hAnsi="Times New Roman" w:eastAsia="宋体" w:cs="Times New Roman"/>
          <w:szCs w:val="21"/>
        </w:rPr>
        <w:t>2</w:t>
      </w:r>
      <w:r>
        <w:rPr>
          <w:rFonts w:hint="eastAsia" w:ascii="宋体" w:hAnsi="宋体" w:eastAsia="宋体" w:cs="Times New Roman"/>
          <w:szCs w:val="21"/>
        </w:rPr>
        <w:t>） 投资者划来资金，未在有效时间内交付的</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w:t>
      </w:r>
      <w:r>
        <w:rPr>
          <w:rFonts w:hint="default" w:ascii="Times New Roman" w:hAnsi="Times New Roman" w:eastAsia="宋体" w:cs="Times New Roman"/>
          <w:szCs w:val="21"/>
        </w:rPr>
        <w:t>3</w:t>
      </w:r>
      <w:r>
        <w:rPr>
          <w:rFonts w:hint="eastAsia" w:ascii="宋体" w:hAnsi="宋体" w:eastAsia="宋体" w:cs="Times New Roman"/>
          <w:szCs w:val="21"/>
        </w:rPr>
        <w:t>） 投资者划来资金，但未办理认/申购手续的</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w:t>
      </w:r>
      <w:r>
        <w:rPr>
          <w:rFonts w:hint="default" w:ascii="Times New Roman" w:hAnsi="Times New Roman" w:eastAsia="宋体" w:cs="Times New Roman"/>
          <w:szCs w:val="21"/>
        </w:rPr>
        <w:t>4</w:t>
      </w:r>
      <w:r>
        <w:rPr>
          <w:rFonts w:hint="eastAsia" w:ascii="宋体" w:hAnsi="宋体" w:eastAsia="宋体" w:cs="Times New Roman"/>
          <w:szCs w:val="21"/>
        </w:rPr>
        <w:t>） 投资者划来的认/申购资金少于其申请的认/申购金额的</w:t>
      </w:r>
    </w:p>
    <w:p>
      <w:pPr>
        <w:spacing w:line="276" w:lineRule="auto"/>
        <w:ind w:firstLine="275" w:firstLineChars="131"/>
        <w:rPr>
          <w:rFonts w:ascii="宋体" w:hAnsi="宋体" w:eastAsia="宋体" w:cs="Times New Roman"/>
          <w:szCs w:val="21"/>
        </w:rPr>
      </w:pPr>
      <w:r>
        <w:rPr>
          <w:rFonts w:hint="eastAsia" w:ascii="宋体" w:hAnsi="宋体" w:eastAsia="宋体" w:cs="Times New Roman"/>
          <w:szCs w:val="21"/>
        </w:rPr>
        <w:t>（</w:t>
      </w:r>
      <w:r>
        <w:rPr>
          <w:rFonts w:hint="default" w:ascii="Times New Roman" w:hAnsi="Times New Roman" w:eastAsia="宋体" w:cs="Times New Roman"/>
          <w:szCs w:val="21"/>
        </w:rPr>
        <w:t>5</w:t>
      </w:r>
      <w:r>
        <w:rPr>
          <w:rFonts w:hint="eastAsia" w:ascii="宋体" w:hAnsi="宋体" w:eastAsia="宋体" w:cs="Times New Roman"/>
          <w:szCs w:val="21"/>
        </w:rPr>
        <w:t>） 本公司确认的其它无效资金或认/申购失败资金</w:t>
      </w:r>
    </w:p>
    <w:p>
      <w:pPr>
        <w:spacing w:line="276" w:lineRule="auto"/>
        <w:ind w:firstLine="276" w:firstLineChars="131"/>
        <w:rPr>
          <w:rFonts w:ascii="宋体" w:hAnsi="宋体" w:eastAsia="宋体" w:cs="Times New Roman"/>
          <w:b/>
          <w:bCs/>
          <w:szCs w:val="21"/>
        </w:rPr>
      </w:pPr>
      <w:r>
        <w:rPr>
          <w:rFonts w:hint="eastAsia" w:ascii="宋体" w:hAnsi="宋体" w:eastAsia="宋体" w:cs="Times New Roman"/>
          <w:b/>
          <w:bCs/>
          <w:szCs w:val="21"/>
        </w:rPr>
        <w:t>（二）提交认/申购申请</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、填写合格并加盖预留印鉴的《交易类业务申请表》-机构版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、出示授权经办人有效身份证件原件，提供复印件（临柜客户）</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3</w:t>
      </w:r>
      <w:r>
        <w:rPr>
          <w:rFonts w:hint="eastAsia" w:ascii="宋体" w:hAnsi="宋体" w:eastAsia="宋体" w:cs="Times New Roman"/>
          <w:szCs w:val="21"/>
        </w:rPr>
        <w:t>、合格投资者证明文件（如购买集合资产管理计划）</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4</w:t>
      </w:r>
      <w:r>
        <w:rPr>
          <w:rFonts w:hint="eastAsia" w:ascii="宋体" w:hAnsi="宋体" w:eastAsia="宋体" w:cs="Times New Roman"/>
          <w:szCs w:val="21"/>
        </w:rPr>
        <w:t>、签署产品风险揭示书（如购买集合资产管理计划）</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5</w:t>
      </w:r>
      <w:r>
        <w:rPr>
          <w:rFonts w:hint="eastAsia" w:ascii="宋体" w:hAnsi="宋体" w:eastAsia="宋体" w:cs="Times New Roman"/>
          <w:szCs w:val="21"/>
        </w:rPr>
        <w:t>、认/申购时，如普通投资者风险承受能力测评超过有效期，需重新提交填妥并加盖公章的《投资人风险承受能力评估问卷（机构）》及《普通投资者风险承受能力评估结果及适当性匹配确认书》</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6</w:t>
      </w:r>
      <w:r>
        <w:rPr>
          <w:rFonts w:hint="eastAsia" w:ascii="宋体" w:hAnsi="宋体" w:eastAsia="宋体" w:cs="Times New Roman"/>
          <w:szCs w:val="21"/>
        </w:rPr>
        <w:t>、本公司要求提供的其他材料</w:t>
      </w:r>
    </w:p>
    <w:p>
      <w:pPr>
        <w:spacing w:line="276" w:lineRule="auto"/>
        <w:ind w:firstLine="276" w:firstLineChars="131"/>
        <w:rPr>
          <w:rFonts w:ascii="宋体" w:hAnsi="宋体" w:eastAsia="宋体" w:cs="Times New Roman"/>
          <w:b/>
          <w:bCs/>
          <w:szCs w:val="21"/>
        </w:rPr>
      </w:pPr>
      <w:r>
        <w:rPr>
          <w:rFonts w:hint="eastAsia" w:ascii="宋体" w:hAnsi="宋体" w:eastAsia="宋体" w:cs="Times New Roman"/>
          <w:b/>
          <w:bCs/>
          <w:szCs w:val="21"/>
        </w:rPr>
        <w:t>（三）赎回业务</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、提供填写合格并加盖预留印鉴的《交易类业务申请表》-机构版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、出示授权经办人有效身份证件原件，提供复印件（临柜客户）</w:t>
      </w:r>
    </w:p>
    <w:p>
      <w:pPr>
        <w:spacing w:line="276" w:lineRule="auto"/>
        <w:ind w:firstLine="276" w:firstLineChars="131"/>
        <w:rPr>
          <w:rFonts w:ascii="宋体" w:hAnsi="宋体" w:eastAsia="宋体" w:cs="Times New Roman"/>
          <w:szCs w:val="21"/>
        </w:rPr>
      </w:pPr>
      <w:r>
        <w:rPr>
          <w:rFonts w:hint="eastAsia" w:ascii="宋体" w:hAnsi="宋体" w:eastAsia="宋体" w:cs="Times New Roman"/>
          <w:b/>
          <w:bCs/>
          <w:szCs w:val="21"/>
        </w:rPr>
        <w:t>（四）设置分红方式、撤销交易申请、转托管</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1</w:t>
      </w:r>
      <w:r>
        <w:rPr>
          <w:rFonts w:hint="eastAsia" w:ascii="宋体" w:hAnsi="宋体" w:eastAsia="宋体" w:cs="Times New Roman"/>
          <w:szCs w:val="21"/>
        </w:rPr>
        <w:t>、提供填妥并加盖预留印鉴的《交易类业务申请表》-机构版</w:t>
      </w:r>
    </w:p>
    <w:p>
      <w:pPr>
        <w:spacing w:line="276" w:lineRule="auto"/>
        <w:ind w:firstLine="275" w:firstLineChars="131"/>
        <w:rPr>
          <w:rFonts w:ascii="宋体" w:hAnsi="宋体" w:eastAsia="宋体" w:cs="Times New Roman"/>
          <w:szCs w:val="21"/>
        </w:rPr>
      </w:pPr>
      <w:r>
        <w:rPr>
          <w:rFonts w:hint="default" w:ascii="Times New Roman" w:hAnsi="Times New Roman" w:eastAsia="宋体" w:cs="Times New Roman"/>
          <w:szCs w:val="21"/>
        </w:rPr>
        <w:t>2</w:t>
      </w:r>
      <w:r>
        <w:rPr>
          <w:rFonts w:hint="eastAsia" w:ascii="宋体" w:hAnsi="宋体" w:eastAsia="宋体" w:cs="Times New Roman"/>
          <w:szCs w:val="21"/>
        </w:rPr>
        <w:t>、出示授权经办人有效身份证件原件，提供复印件（临柜客户）</w:t>
      </w:r>
    </w:p>
    <w:p>
      <w:pPr>
        <w:snapToGrid w:val="0"/>
        <w:spacing w:line="276" w:lineRule="auto"/>
        <w:ind w:right="141" w:rightChars="67" w:firstLine="316" w:firstLineChars="131"/>
        <w:rPr>
          <w:b/>
          <w:bCs/>
          <w:sz w:val="24"/>
          <w:szCs w:val="24"/>
        </w:rPr>
      </w:pPr>
      <w:r>
        <w:rPr>
          <w:rFonts w:hint="eastAsia" w:asciiTheme="minorEastAsia" w:hAnsiTheme="minorEastAsia"/>
          <w:b/>
          <w:bCs/>
          <w:sz w:val="24"/>
          <w:szCs w:val="24"/>
        </w:rPr>
        <w:t>六、</w:t>
      </w:r>
      <w:r>
        <w:rPr>
          <w:rFonts w:hint="eastAsia"/>
          <w:b/>
          <w:bCs/>
          <w:sz w:val="24"/>
          <w:szCs w:val="24"/>
        </w:rPr>
        <w:t>合格投资者的认定标准</w:t>
      </w:r>
    </w:p>
    <w:p>
      <w:pPr>
        <w:snapToGrid w:val="0"/>
        <w:spacing w:line="276" w:lineRule="auto"/>
        <w:ind w:right="141" w:rightChars="67" w:firstLine="275" w:firstLineChars="131"/>
      </w:pPr>
      <w:r>
        <w:rPr>
          <w:rFonts w:hint="default" w:ascii="Times New Roman" w:hAnsi="Times New Roman" w:cs="Times New Roman"/>
        </w:rPr>
        <w:t>1</w:t>
      </w:r>
      <w:r>
        <w:rPr>
          <w:rFonts w:hint="eastAsia"/>
        </w:rPr>
        <w:t>、</w:t>
      </w:r>
      <w:r>
        <w:t>最近</w:t>
      </w:r>
      <w:r>
        <w:rPr>
          <w:rFonts w:ascii="Times New Roman" w:hAnsi="Times New Roman" w:cs="Times New Roman"/>
        </w:rPr>
        <w:t>1</w:t>
      </w:r>
      <w:r>
        <w:t>年末净资产不低于</w:t>
      </w:r>
      <w:r>
        <w:rPr>
          <w:rFonts w:ascii="Times New Roman" w:hAnsi="Times New Roman" w:cs="Times New Roman"/>
        </w:rPr>
        <w:t>1000</w:t>
      </w:r>
      <w:r>
        <w:t>万元的法人单位。</w:t>
      </w:r>
    </w:p>
    <w:p>
      <w:pPr>
        <w:snapToGrid w:val="0"/>
        <w:spacing w:line="276" w:lineRule="auto"/>
        <w:ind w:right="141" w:rightChars="67" w:firstLine="275" w:firstLineChars="131"/>
      </w:pPr>
      <w:r>
        <w:rPr>
          <w:rFonts w:hint="default" w:ascii="Times New Roman" w:hAnsi="Times New Roman" w:cs="Times New Roman"/>
        </w:rPr>
        <w:t>2</w:t>
      </w:r>
      <w:r>
        <w:rPr>
          <w:rFonts w:hint="eastAsia"/>
        </w:rPr>
        <w:t>、</w:t>
      </w:r>
      <w:r>
        <w:t>依法设立并接受国务院金融监督管理机构监管的机构，包括证券公司及其子公司、基金管理公司及其子公司、期货公司及其子公司、在中国证券投资基金业协会登记的私募基金管理人、商业银行、金融资产投资公司、信托公司、保险公司、保险资产管理机构、财务公司及中国证监会认定的其他机构。</w:t>
      </w:r>
    </w:p>
    <w:p>
      <w:pPr>
        <w:snapToGrid w:val="0"/>
        <w:spacing w:line="276" w:lineRule="auto"/>
        <w:ind w:right="141" w:rightChars="67" w:firstLine="275" w:firstLineChars="131"/>
      </w:pPr>
      <w:r>
        <w:rPr>
          <w:rFonts w:hint="default" w:ascii="Times New Roman" w:hAnsi="Times New Roman" w:cs="Times New Roman"/>
        </w:rPr>
        <w:t>3</w:t>
      </w:r>
      <w:r>
        <w:rPr>
          <w:rFonts w:hint="eastAsia"/>
        </w:rPr>
        <w:t>、</w:t>
      </w:r>
      <w:r>
        <w:t>接受国务院金融监督管理机构监管的机构发行的资产管理产品。</w:t>
      </w:r>
    </w:p>
    <w:p>
      <w:pPr>
        <w:snapToGrid w:val="0"/>
        <w:spacing w:line="276" w:lineRule="auto"/>
        <w:ind w:right="141" w:rightChars="67" w:firstLine="275" w:firstLineChars="131"/>
      </w:pPr>
      <w:r>
        <w:rPr>
          <w:rFonts w:hint="default" w:ascii="Times New Roman" w:hAnsi="Times New Roman" w:cs="Times New Roman"/>
        </w:rPr>
        <w:t>4</w:t>
      </w:r>
      <w:r>
        <w:rPr>
          <w:rFonts w:hint="eastAsia"/>
        </w:rPr>
        <w:t>、</w:t>
      </w:r>
      <w:r>
        <w:t>基本养老金、社会保障基金、企业年金等养老基金，慈善基金等社会公益基金，合格境外机构投资者（</w:t>
      </w:r>
      <w:r>
        <w:rPr>
          <w:rFonts w:ascii="Times New Roman" w:hAnsi="Times New Roman" w:cs="Times New Roman"/>
        </w:rPr>
        <w:t>QFII</w:t>
      </w:r>
      <w:r>
        <w:t>）、人民币合格境外机构投资者（</w:t>
      </w:r>
      <w:r>
        <w:rPr>
          <w:rFonts w:ascii="Times New Roman" w:hAnsi="Times New Roman" w:cs="Times New Roman"/>
        </w:rPr>
        <w:t>RQFII</w:t>
      </w:r>
      <w:r>
        <w:t>）。</w:t>
      </w:r>
    </w:p>
    <w:p>
      <w:pPr>
        <w:snapToGrid w:val="0"/>
        <w:spacing w:line="276" w:lineRule="auto"/>
        <w:ind w:right="141" w:rightChars="67" w:firstLine="275" w:firstLineChars="131"/>
      </w:pPr>
      <w:r>
        <w:rPr>
          <w:rFonts w:hint="default" w:ascii="Times New Roman" w:hAnsi="Times New Roman" w:cs="Times New Roman"/>
        </w:rPr>
        <w:t>5</w:t>
      </w:r>
      <w:r>
        <w:rPr>
          <w:rFonts w:hint="eastAsia"/>
        </w:rPr>
        <w:t>、</w:t>
      </w:r>
      <w:r>
        <w:t>中国证监会视为合格投资者的其他情形。</w:t>
      </w:r>
    </w:p>
    <w:p>
      <w:pPr>
        <w:snapToGrid w:val="0"/>
        <w:spacing w:line="276" w:lineRule="auto"/>
        <w:ind w:right="141" w:rightChars="67" w:firstLine="275" w:firstLineChars="131"/>
      </w:pPr>
      <w:r>
        <w:t>合格投资者投资于单只固定收益类产品的金额不低于</w:t>
      </w:r>
      <w:r>
        <w:rPr>
          <w:rFonts w:ascii="Times New Roman" w:hAnsi="Times New Roman" w:cs="Times New Roman"/>
        </w:rPr>
        <w:t>30</w:t>
      </w:r>
      <w:r>
        <w:t>万元，投资于单只混合类产品的金额不低于</w:t>
      </w:r>
      <w:r>
        <w:rPr>
          <w:rFonts w:ascii="Times New Roman" w:hAnsi="Times New Roman" w:cs="Times New Roman"/>
        </w:rPr>
        <w:t>40</w:t>
      </w:r>
      <w:r>
        <w:t>万元，投资于单只权益类产品、单只商品及金融衍生品类产品的金额不低于</w:t>
      </w:r>
      <w:r>
        <w:rPr>
          <w:rFonts w:ascii="Times New Roman" w:hAnsi="Times New Roman" w:cs="Times New Roman"/>
        </w:rPr>
        <w:t>100</w:t>
      </w:r>
      <w:r>
        <w:t>万元。投资于《证券期货经营机构私募资产管理业务管理办法》第三十</w:t>
      </w:r>
      <w:r>
        <w:rPr>
          <w:rFonts w:hint="eastAsia"/>
        </w:rPr>
        <w:t>八</w:t>
      </w:r>
      <w:r>
        <w:t>条第（五）项规定的非标准化资产的，接受单个合格投资者委托资金的金额不低于</w:t>
      </w:r>
      <w:r>
        <w:rPr>
          <w:rFonts w:ascii="Times New Roman" w:hAnsi="Times New Roman" w:cs="Times New Roman"/>
        </w:rPr>
        <w:t>100</w:t>
      </w:r>
      <w:r>
        <w:t>万元。</w:t>
      </w:r>
    </w:p>
    <w:p>
      <w:pPr>
        <w:snapToGrid w:val="0"/>
        <w:spacing w:line="276" w:lineRule="auto"/>
        <w:ind w:left="275" w:leftChars="131" w:right="141" w:rightChars="67"/>
        <w:rPr>
          <w:b/>
          <w:bCs/>
          <w:sz w:val="24"/>
          <w:szCs w:val="24"/>
        </w:rPr>
      </w:pPr>
      <w:r>
        <w:rPr>
          <w:rFonts w:hint="eastAsia"/>
          <w:b/>
          <w:bCs/>
          <w:sz w:val="24"/>
          <w:szCs w:val="24"/>
        </w:rPr>
        <w:t>七、专业投资者的认定标准</w:t>
      </w:r>
    </w:p>
    <w:p>
      <w:pPr>
        <w:snapToGrid w:val="0"/>
        <w:spacing w:line="276" w:lineRule="auto"/>
        <w:ind w:right="141" w:rightChars="67" w:firstLine="275" w:firstLineChars="131"/>
      </w:pPr>
      <w:r>
        <w:rPr>
          <w:rFonts w:hint="default" w:ascii="Times New Roman" w:hAnsi="Times New Roman" w:cs="Times New Roman"/>
        </w:rPr>
        <w:t>1</w:t>
      </w:r>
      <w:r>
        <w:t>、</w:t>
      </w:r>
      <w:r>
        <w:rPr>
          <w:rFonts w:ascii="Times New Roman" w:hAnsi="Times New Roman" w:cs="Times New Roman"/>
        </w:rPr>
        <w:t>A</w:t>
      </w:r>
      <w:r>
        <w:t>类专业投资者：经有关金融监管部门批准设立的金融机构，包括证券公司、期货公司、基金管理公司及其子公司、商业银行、保险公司、信托公司、财务公司等；经行业协会备案或者登记的证券公司子公司、期货公司子公司、私募基金管理人。</w:t>
      </w:r>
    </w:p>
    <w:p>
      <w:pPr>
        <w:snapToGrid w:val="0"/>
        <w:spacing w:line="276" w:lineRule="auto"/>
        <w:ind w:right="141" w:rightChars="67" w:firstLine="275" w:firstLineChars="131"/>
      </w:pPr>
      <w:r>
        <w:rPr>
          <w:rFonts w:hint="default" w:ascii="Times New Roman" w:hAnsi="Times New Roman" w:cs="Times New Roman"/>
        </w:rPr>
        <w:t>2</w:t>
      </w:r>
      <w:r>
        <w:t>、</w:t>
      </w:r>
      <w:r>
        <w:rPr>
          <w:rFonts w:ascii="Times New Roman" w:hAnsi="Times New Roman" w:cs="Times New Roman"/>
        </w:rPr>
        <w:t>B</w:t>
      </w:r>
      <w:r>
        <w:t>类专业投资者：上述机构面向投资者发行的理财产品，包括但不限于证券公司资产管理产品、基金管理公司及其子公司产品、期货公司资产管理产品、银行理财产品、保险产品、信托产品、经行业协会备案的私募基金。</w:t>
      </w:r>
    </w:p>
    <w:p>
      <w:pPr>
        <w:snapToGrid w:val="0"/>
        <w:spacing w:line="276" w:lineRule="auto"/>
        <w:ind w:right="141" w:rightChars="67" w:firstLine="275" w:firstLineChars="131"/>
      </w:pPr>
      <w:r>
        <w:rPr>
          <w:rFonts w:hint="default" w:ascii="Times New Roman" w:hAnsi="Times New Roman" w:cs="Times New Roman"/>
        </w:rPr>
        <w:t>3</w:t>
      </w:r>
      <w:r>
        <w:t>、</w:t>
      </w:r>
      <w:r>
        <w:rPr>
          <w:rFonts w:ascii="Times New Roman" w:hAnsi="Times New Roman" w:cs="Times New Roman"/>
        </w:rPr>
        <w:t>C</w:t>
      </w:r>
      <w:r>
        <w:t>类专业投资者：社会保障基金、企业年金等养老基金，慈善基金等社会公益基金，合格境外机构投资者（</w:t>
      </w:r>
      <w:r>
        <w:rPr>
          <w:rFonts w:ascii="Times New Roman" w:hAnsi="Times New Roman" w:cs="Times New Roman"/>
        </w:rPr>
        <w:t>QFII</w:t>
      </w:r>
      <w:r>
        <w:t>）、人民币合格境外机构投资者（</w:t>
      </w:r>
      <w:r>
        <w:rPr>
          <w:rFonts w:ascii="Times New Roman" w:hAnsi="Times New Roman" w:cs="Times New Roman"/>
        </w:rPr>
        <w:t>RQFII</w:t>
      </w:r>
      <w:r>
        <w:t>）。</w:t>
      </w:r>
    </w:p>
    <w:p>
      <w:pPr>
        <w:snapToGrid w:val="0"/>
        <w:spacing w:line="276" w:lineRule="auto"/>
        <w:ind w:right="141" w:rightChars="67" w:firstLine="275" w:firstLineChars="131"/>
      </w:pPr>
      <w:r>
        <w:rPr>
          <w:rFonts w:hint="default" w:ascii="Times New Roman" w:hAnsi="Times New Roman" w:cs="Times New Roman"/>
        </w:rPr>
        <w:t>4</w:t>
      </w:r>
      <w:r>
        <w:t>、</w:t>
      </w:r>
      <w:r>
        <w:rPr>
          <w:rFonts w:ascii="Times New Roman" w:hAnsi="Times New Roman" w:cs="Times New Roman"/>
        </w:rPr>
        <w:t>D</w:t>
      </w:r>
      <w:r>
        <w:t>类专业投资者：同时符合下列条件的法人或者其他组织：</w:t>
      </w:r>
    </w:p>
    <w:p>
      <w:pPr>
        <w:snapToGrid w:val="0"/>
        <w:spacing w:line="276" w:lineRule="auto"/>
        <w:ind w:right="141" w:rightChars="67" w:firstLine="275" w:firstLineChars="131"/>
      </w:pPr>
      <w:r>
        <w:rPr>
          <w:rFonts w:ascii="Times New Roman" w:hAnsi="Times New Roman" w:cs="Times New Roman"/>
        </w:rPr>
        <w:t>1</w:t>
      </w:r>
      <w:r>
        <w:rPr>
          <w:rFonts w:hint="eastAsia"/>
        </w:rPr>
        <w:t>）</w:t>
      </w:r>
      <w:r>
        <w:t>最近</w:t>
      </w:r>
      <w:r>
        <w:rPr>
          <w:rFonts w:ascii="Times New Roman" w:hAnsi="Times New Roman" w:cs="Times New Roman"/>
        </w:rPr>
        <w:t>1</w:t>
      </w:r>
      <w:r>
        <w:t>年末净资产不低于</w:t>
      </w:r>
      <w:r>
        <w:rPr>
          <w:rFonts w:ascii="Times New Roman" w:hAnsi="Times New Roman" w:cs="Times New Roman"/>
        </w:rPr>
        <w:t>2000</w:t>
      </w:r>
      <w:r>
        <w:t>万元；</w:t>
      </w:r>
    </w:p>
    <w:p>
      <w:pPr>
        <w:snapToGrid w:val="0"/>
        <w:spacing w:line="276" w:lineRule="auto"/>
        <w:ind w:right="141" w:rightChars="67" w:firstLine="275" w:firstLineChars="131"/>
      </w:pPr>
      <w:r>
        <w:rPr>
          <w:rFonts w:ascii="Times New Roman" w:hAnsi="Times New Roman" w:cs="Times New Roman"/>
        </w:rPr>
        <w:t>2</w:t>
      </w:r>
      <w:r>
        <w:rPr>
          <w:rFonts w:hint="eastAsia"/>
        </w:rPr>
        <w:t>）</w:t>
      </w:r>
      <w:r>
        <w:t>最近</w:t>
      </w:r>
      <w:r>
        <w:rPr>
          <w:rFonts w:ascii="Times New Roman" w:hAnsi="Times New Roman" w:cs="Times New Roman"/>
        </w:rPr>
        <w:t>1</w:t>
      </w:r>
      <w:r>
        <w:t>年末金融资产不低于</w:t>
      </w:r>
      <w:r>
        <w:rPr>
          <w:rFonts w:ascii="Times New Roman" w:hAnsi="Times New Roman" w:cs="Times New Roman"/>
        </w:rPr>
        <w:t>1000</w:t>
      </w:r>
      <w:r>
        <w:t>万元；</w:t>
      </w:r>
    </w:p>
    <w:p>
      <w:pPr>
        <w:snapToGrid w:val="0"/>
        <w:spacing w:line="276" w:lineRule="auto"/>
        <w:ind w:right="141" w:rightChars="67" w:firstLine="275" w:firstLineChars="131"/>
      </w:pPr>
      <w:r>
        <w:rPr>
          <w:rFonts w:ascii="Times New Roman" w:hAnsi="Times New Roman" w:cs="Times New Roman"/>
        </w:rPr>
        <w:t>3</w:t>
      </w:r>
      <w:r>
        <w:rPr>
          <w:rFonts w:hint="eastAsia"/>
        </w:rPr>
        <w:t>）</w:t>
      </w:r>
      <w:r>
        <w:t>具有</w:t>
      </w:r>
      <w:r>
        <w:rPr>
          <w:rFonts w:ascii="Times New Roman" w:hAnsi="Times New Roman" w:cs="Times New Roman"/>
        </w:rPr>
        <w:t>2</w:t>
      </w:r>
      <w:r>
        <w:t>年以上证券、基金、期货、黄金、外汇等投资经历。</w:t>
      </w:r>
    </w:p>
    <w:p>
      <w:pPr>
        <w:snapToGrid w:val="0"/>
        <w:spacing w:line="276" w:lineRule="auto"/>
        <w:ind w:right="141" w:rightChars="67" w:firstLine="316" w:firstLineChars="131"/>
        <w:rPr>
          <w:rFonts w:asciiTheme="minorEastAsia" w:hAnsiTheme="minorEastAsia"/>
          <w:b/>
          <w:sz w:val="24"/>
          <w:szCs w:val="24"/>
        </w:rPr>
      </w:pPr>
      <w:r>
        <w:rPr>
          <w:rFonts w:hint="eastAsia" w:asciiTheme="minorEastAsia" w:hAnsiTheme="minorEastAsia"/>
          <w:b/>
          <w:sz w:val="24"/>
          <w:szCs w:val="24"/>
        </w:rPr>
        <w:t>八</w:t>
      </w:r>
      <w:r>
        <w:rPr>
          <w:rFonts w:asciiTheme="minorEastAsia" w:hAnsiTheme="minorEastAsia"/>
          <w:b/>
          <w:sz w:val="24"/>
          <w:szCs w:val="24"/>
        </w:rPr>
        <w:t>、</w:t>
      </w:r>
      <w:r>
        <w:rPr>
          <w:rFonts w:hint="eastAsia" w:asciiTheme="minorEastAsia" w:hAnsiTheme="minorEastAsia"/>
          <w:b/>
          <w:sz w:val="24"/>
          <w:szCs w:val="24"/>
        </w:rPr>
        <w:t>注意事项：</w:t>
      </w:r>
    </w:p>
    <w:p>
      <w:pPr>
        <w:snapToGrid w:val="0"/>
        <w:spacing w:line="276" w:lineRule="auto"/>
        <w:ind w:firstLine="275" w:firstLineChars="131"/>
        <w:rPr>
          <w:rFonts w:asciiTheme="minorEastAsia" w:hAnsiTheme="minorEastAsia"/>
          <w:szCs w:val="21"/>
        </w:rPr>
      </w:pPr>
      <w:r>
        <w:rPr>
          <w:rFonts w:hint="default" w:ascii="Times New Roman" w:hAnsi="Times New Roman" w:cs="Times New Roman"/>
          <w:szCs w:val="21"/>
        </w:rPr>
        <w:t>1</w:t>
      </w:r>
      <w:r>
        <w:rPr>
          <w:rFonts w:hint="eastAsia" w:asciiTheme="minorEastAsia" w:hAnsiTheme="minorEastAsia"/>
          <w:szCs w:val="21"/>
        </w:rPr>
        <w:t>、本公司管理的产品根据有关法律法规的规定设立，但中国证监会等监管机构对本产品作出的任何决定，均不表明其对本产品的价值和收益做出实质性判断和保证，亦不表明投资于本产品没有风险</w:t>
      </w:r>
    </w:p>
    <w:p>
      <w:pPr>
        <w:snapToGrid w:val="0"/>
        <w:spacing w:line="276" w:lineRule="auto"/>
        <w:ind w:firstLine="275" w:firstLineChars="131"/>
        <w:rPr>
          <w:rFonts w:asciiTheme="minorEastAsia" w:hAnsiTheme="minorEastAsia"/>
          <w:szCs w:val="21"/>
        </w:rPr>
      </w:pPr>
      <w:r>
        <w:rPr>
          <w:rFonts w:hint="default" w:ascii="Times New Roman" w:hAnsi="Times New Roman" w:cs="Times New Roman"/>
          <w:szCs w:val="21"/>
        </w:rPr>
        <w:t>2</w:t>
      </w:r>
      <w:r>
        <w:rPr>
          <w:rFonts w:hint="eastAsia" w:asciiTheme="minorEastAsia" w:hAnsiTheme="minorEastAsia"/>
          <w:szCs w:val="21"/>
        </w:rPr>
        <w:t>、开立基金账户的投资者应为中华人民共和国法律、法规规定的合法投资者，且同一投资者在同一个注册登记机构只可申请开立一个基金账户。投资者递交相关申请表，即表明其已同意并接受本公司有关基金及资产管理计划业务的相关规定。</w:t>
      </w:r>
    </w:p>
    <w:p>
      <w:pPr>
        <w:snapToGrid w:val="0"/>
        <w:spacing w:line="276" w:lineRule="auto"/>
        <w:ind w:firstLine="275" w:firstLineChars="131"/>
        <w:rPr>
          <w:rFonts w:asciiTheme="minorEastAsia" w:hAnsiTheme="minorEastAsia"/>
          <w:szCs w:val="21"/>
        </w:rPr>
      </w:pPr>
      <w:r>
        <w:rPr>
          <w:rFonts w:ascii="Times New Roman" w:hAnsi="Times New Roman" w:cs="Times New Roman"/>
          <w:szCs w:val="21"/>
        </w:rPr>
        <w:t>3</w:t>
      </w:r>
      <w:r>
        <w:rPr>
          <w:rFonts w:hint="eastAsia" w:asciiTheme="minorEastAsia" w:hAnsiTheme="minorEastAsia"/>
          <w:szCs w:val="21"/>
        </w:rPr>
        <w:t>、投资者在办理基金账户业务相关手续时，必须保证所提供资料的真实、完整、准确、有效，并承诺在投资者资料发生变更时，及时办理有关变更手续。如因资料不实或更改不及时而导致的风险由投资者自行承担。</w:t>
      </w:r>
    </w:p>
    <w:p>
      <w:pPr>
        <w:snapToGrid w:val="0"/>
        <w:spacing w:line="276" w:lineRule="auto"/>
        <w:ind w:firstLine="275" w:firstLineChars="131"/>
        <w:rPr>
          <w:rFonts w:asciiTheme="minorEastAsia" w:hAnsiTheme="minorEastAsia"/>
          <w:szCs w:val="21"/>
        </w:rPr>
      </w:pPr>
      <w:r>
        <w:rPr>
          <w:rFonts w:ascii="Times New Roman" w:hAnsi="Times New Roman" w:cs="Times New Roman"/>
          <w:szCs w:val="21"/>
        </w:rPr>
        <w:t>4</w:t>
      </w:r>
      <w:r>
        <w:rPr>
          <w:rFonts w:hint="eastAsia" w:asciiTheme="minorEastAsia" w:hAnsiTheme="minorEastAsia"/>
          <w:szCs w:val="21"/>
        </w:rPr>
        <w:t>、投资者提交申请时，本公司还可能根据反洗钱相关法律法规规定，要求投资者补充提交其他相关身份证明文件。如投资者先前提交的身份证件或者身份证明文件已过有效期，应及时补充更新；若投资者（包含机构证件及法定代表人、授权经办人、受益所有人证件的有效期）在证件有效期过期</w:t>
      </w:r>
      <w:r>
        <w:rPr>
          <w:rFonts w:hint="default" w:ascii="Times New Roman" w:hAnsi="Times New Roman" w:cs="Times New Roman"/>
          <w:szCs w:val="21"/>
        </w:rPr>
        <w:t>90</w:t>
      </w:r>
      <w:r>
        <w:rPr>
          <w:rFonts w:hint="eastAsia" w:asciiTheme="minorEastAsia" w:hAnsiTheme="minorEastAsia"/>
          <w:szCs w:val="21"/>
        </w:rPr>
        <w:t>天内没有更新且没有合理理由的，将影响部分业务的办理，本公司不承担由此带来的损失及法律责任。</w:t>
      </w:r>
    </w:p>
    <w:p>
      <w:pPr>
        <w:spacing w:line="276" w:lineRule="auto"/>
        <w:ind w:firstLine="275" w:firstLineChars="131"/>
        <w:rPr>
          <w:rFonts w:asciiTheme="minorEastAsia" w:hAnsiTheme="minorEastAsia"/>
          <w:szCs w:val="21"/>
        </w:rPr>
      </w:pPr>
      <w:r>
        <w:rPr>
          <w:rFonts w:hint="default" w:ascii="Times New Roman" w:hAnsi="Times New Roman" w:cs="Times New Roman"/>
          <w:szCs w:val="21"/>
        </w:rPr>
        <w:t>5</w:t>
      </w:r>
      <w:r>
        <w:rPr>
          <w:rFonts w:hint="eastAsia" w:asciiTheme="minorEastAsia" w:hAnsiTheme="minorEastAsia"/>
          <w:szCs w:val="21"/>
        </w:rPr>
        <w:t>、投资者须妥善保管预留印鉴、交易密码和身份识别凭证，本公司对投资者的申请材料仅作表面真实性审查；一切使用投资者预留印鉴、身份识别凭证和或交易密码进行的交易行为均视为投资者本人所为，由此造成的后果由投资者自行承担。</w:t>
      </w:r>
    </w:p>
    <w:p>
      <w:pPr>
        <w:spacing w:line="276" w:lineRule="auto"/>
        <w:ind w:firstLine="275" w:firstLineChars="131"/>
        <w:rPr>
          <w:rFonts w:asciiTheme="minorEastAsia" w:hAnsiTheme="minorEastAsia"/>
          <w:szCs w:val="21"/>
        </w:rPr>
      </w:pPr>
      <w:r>
        <w:rPr>
          <w:rFonts w:ascii="Times New Roman" w:hAnsi="Times New Roman" w:cs="Times New Roman"/>
          <w:szCs w:val="21"/>
        </w:rPr>
        <w:t>6</w:t>
      </w:r>
      <w:r>
        <w:rPr>
          <w:rFonts w:hint="eastAsia" w:asciiTheme="minorEastAsia" w:hAnsiTheme="minorEastAsia"/>
          <w:szCs w:val="21"/>
        </w:rPr>
        <w:t>、投资者提交申请时，所填的银行账户将作为投资者基金认/申购款的唯一汇出账户和基金份额赎回、分红、退款等资金的唯一汇入账户。汇入账户与汇出账户必须与开户时的预留银行账号或变更后的银行账号保持一致。</w:t>
      </w:r>
    </w:p>
    <w:p>
      <w:pPr>
        <w:spacing w:line="276" w:lineRule="auto"/>
        <w:ind w:firstLine="275" w:firstLineChars="131"/>
        <w:rPr>
          <w:rFonts w:asciiTheme="minorEastAsia" w:hAnsiTheme="minorEastAsia"/>
          <w:szCs w:val="21"/>
        </w:rPr>
      </w:pPr>
      <w:r>
        <w:rPr>
          <w:rFonts w:hint="default" w:ascii="Times New Roman" w:hAnsi="Times New Roman" w:cs="Times New Roman"/>
          <w:szCs w:val="21"/>
        </w:rPr>
        <w:t>7</w:t>
      </w:r>
      <w:r>
        <w:rPr>
          <w:rFonts w:hint="eastAsia" w:asciiTheme="minorEastAsia" w:hAnsiTheme="minorEastAsia"/>
          <w:szCs w:val="21"/>
        </w:rPr>
        <w:t>、投资者资料变更申请一经确认，所有交易均以新的资料信息为依据；</w:t>
      </w:r>
    </w:p>
    <w:p>
      <w:pPr>
        <w:spacing w:line="276" w:lineRule="auto"/>
        <w:ind w:firstLine="275" w:firstLineChars="131"/>
        <w:rPr>
          <w:rFonts w:asciiTheme="minorEastAsia" w:hAnsiTheme="minorEastAsia"/>
          <w:szCs w:val="21"/>
        </w:rPr>
      </w:pPr>
      <w:r>
        <w:rPr>
          <w:rFonts w:ascii="Times New Roman" w:hAnsi="Times New Roman" w:cs="Times New Roman"/>
          <w:szCs w:val="21"/>
        </w:rPr>
        <w:t>8</w:t>
      </w:r>
      <w:r>
        <w:rPr>
          <w:rFonts w:hint="eastAsia" w:asciiTheme="minorEastAsia" w:hAnsiTheme="minorEastAsia"/>
          <w:szCs w:val="21"/>
        </w:rPr>
        <w:t>、申请基金账户销户时，基金账户内应无任何基金份额、权益和在途交易及该账户未被冻结或挂失；撤销交易账户，该交易账户内必须无任何基金份额、权益和在途交易。</w:t>
      </w:r>
    </w:p>
    <w:p>
      <w:pPr>
        <w:spacing w:line="276" w:lineRule="auto"/>
        <w:ind w:firstLine="275" w:firstLineChars="131"/>
        <w:rPr>
          <w:rFonts w:asciiTheme="minorEastAsia" w:hAnsiTheme="minorEastAsia"/>
          <w:szCs w:val="21"/>
        </w:rPr>
      </w:pPr>
      <w:r>
        <w:rPr>
          <w:rFonts w:ascii="Times New Roman" w:hAnsi="Times New Roman" w:cs="Times New Roman"/>
          <w:szCs w:val="21"/>
        </w:rPr>
        <w:t>9</w:t>
      </w:r>
      <w:r>
        <w:rPr>
          <w:rFonts w:hint="eastAsia" w:asciiTheme="minorEastAsia" w:hAnsiTheme="minorEastAsia"/>
          <w:szCs w:val="21"/>
        </w:rPr>
        <w:t>、因相关运营商调整而导致短信发送的账单及其他信息定制出现延迟或无法送达等问题，请留意本公司最新公告或致电公司客服电话进行具体咨询。</w:t>
      </w:r>
    </w:p>
    <w:p>
      <w:pPr>
        <w:spacing w:line="276" w:lineRule="auto"/>
        <w:ind w:firstLine="275" w:firstLineChars="131"/>
        <w:rPr>
          <w:rFonts w:asciiTheme="minorEastAsia" w:hAnsiTheme="minorEastAsia"/>
          <w:szCs w:val="21"/>
        </w:rPr>
      </w:pPr>
      <w:r>
        <w:rPr>
          <w:rFonts w:ascii="Times New Roman" w:hAnsi="Times New Roman" w:cs="Times New Roman"/>
          <w:szCs w:val="21"/>
        </w:rPr>
        <w:t>10</w:t>
      </w:r>
      <w:r>
        <w:rPr>
          <w:rFonts w:asciiTheme="minorEastAsia" w:hAnsiTheme="minorEastAsia"/>
          <w:szCs w:val="21"/>
        </w:rPr>
        <w:t>、</w:t>
      </w:r>
      <w:r>
        <w:rPr>
          <w:rFonts w:hint="eastAsia" w:asciiTheme="minorEastAsia" w:hAnsiTheme="minorEastAsia"/>
          <w:szCs w:val="21"/>
        </w:rPr>
        <w:t>本公司受理的直销业务申请，并不表示对本申请予以确认，最终结果以注册登记信息为准。</w:t>
      </w:r>
    </w:p>
    <w:p>
      <w:pPr>
        <w:spacing w:line="276" w:lineRule="auto"/>
        <w:ind w:firstLine="275" w:firstLineChars="131"/>
        <w:rPr>
          <w:rFonts w:asciiTheme="minorEastAsia" w:hAnsiTheme="minorEastAsia"/>
          <w:szCs w:val="21"/>
        </w:rPr>
      </w:pPr>
      <w:r>
        <w:rPr>
          <w:rFonts w:hint="default" w:ascii="Times New Roman" w:hAnsi="Times New Roman" w:cs="Times New Roman"/>
          <w:szCs w:val="21"/>
        </w:rPr>
        <w:t>1</w:t>
      </w:r>
      <w:r>
        <w:rPr>
          <w:rFonts w:ascii="Times New Roman" w:hAnsi="Times New Roman" w:cs="Times New Roman"/>
          <w:szCs w:val="21"/>
        </w:rPr>
        <w:t>1</w:t>
      </w:r>
      <w:r>
        <w:rPr>
          <w:rFonts w:asciiTheme="minorEastAsia" w:hAnsiTheme="minorEastAsia"/>
          <w:szCs w:val="21"/>
        </w:rPr>
        <w:t>、</w:t>
      </w:r>
      <w:r>
        <w:rPr>
          <w:rFonts w:hint="eastAsia" w:asciiTheme="minorEastAsia" w:hAnsiTheme="minorEastAsia"/>
          <w:szCs w:val="21"/>
        </w:rPr>
        <w:t>本指引仅供投资者办理相关业务时参考，实际办理流程及所需资料以本公司最新业务规则为准。</w:t>
      </w:r>
    </w:p>
    <w:p>
      <w:pPr>
        <w:snapToGrid w:val="0"/>
        <w:spacing w:line="360" w:lineRule="auto"/>
        <w:ind w:right="141" w:rightChars="67" w:firstLine="316" w:firstLineChars="131"/>
        <w:rPr>
          <w:rFonts w:asciiTheme="minorEastAsia" w:hAnsiTheme="minorEastAsia"/>
          <w:b/>
          <w:sz w:val="24"/>
          <w:szCs w:val="24"/>
        </w:rPr>
      </w:pPr>
      <w:r>
        <w:rPr>
          <w:rFonts w:hint="eastAsia" w:asciiTheme="minorEastAsia" w:hAnsiTheme="minorEastAsia"/>
          <w:b/>
          <w:sz w:val="24"/>
          <w:szCs w:val="24"/>
        </w:rPr>
        <w:t>九、联系方式：</w:t>
      </w:r>
    </w:p>
    <w:p>
      <w:pPr>
        <w:snapToGrid w:val="0"/>
        <w:spacing w:line="360" w:lineRule="auto"/>
        <w:ind w:right="141" w:rightChars="67" w:firstLine="275" w:firstLineChars="131"/>
        <w:rPr>
          <w:rFonts w:asciiTheme="minorEastAsia" w:hAnsiTheme="minorEastAsia"/>
          <w:szCs w:val="21"/>
        </w:rPr>
      </w:pPr>
      <w:r>
        <w:rPr>
          <w:rFonts w:hint="eastAsia" w:asciiTheme="minorEastAsia" w:hAnsiTheme="minorEastAsia"/>
          <w:szCs w:val="21"/>
        </w:rPr>
        <w:t>直销专线：</w:t>
      </w:r>
      <w:r>
        <w:rPr>
          <w:rFonts w:hint="default" w:ascii="Times New Roman" w:hAnsi="Times New Roman" w:cs="Times New Roman"/>
        </w:rPr>
        <w:t>022-28451132</w:t>
      </w:r>
    </w:p>
    <w:p>
      <w:pPr>
        <w:snapToGrid w:val="0"/>
        <w:spacing w:line="360" w:lineRule="auto"/>
        <w:ind w:right="141" w:rightChars="67" w:firstLine="275" w:firstLineChars="131"/>
        <w:rPr>
          <w:rFonts w:asciiTheme="minorEastAsia" w:hAnsiTheme="minorEastAsia"/>
          <w:szCs w:val="21"/>
        </w:rPr>
      </w:pPr>
      <w:r>
        <w:rPr>
          <w:rFonts w:hint="eastAsia" w:asciiTheme="minorEastAsia" w:hAnsiTheme="minorEastAsia"/>
          <w:szCs w:val="21"/>
        </w:rPr>
        <w:t>直销传真：</w:t>
      </w:r>
      <w:r>
        <w:rPr>
          <w:rFonts w:hint="default" w:ascii="Times New Roman" w:hAnsi="Times New Roman" w:cs="Times New Roman"/>
        </w:rPr>
        <w:t>022-23861510</w:t>
      </w:r>
    </w:p>
    <w:p>
      <w:pPr>
        <w:snapToGrid w:val="0"/>
        <w:spacing w:line="360" w:lineRule="auto"/>
        <w:ind w:right="141" w:rightChars="67" w:firstLine="275" w:firstLineChars="131"/>
        <w:rPr>
          <w:rFonts w:ascii="Times New Roman" w:hAnsi="Times New Roman" w:cs="Times New Roman"/>
          <w:szCs w:val="21"/>
        </w:rPr>
      </w:pPr>
      <w:r>
        <w:rPr>
          <w:rFonts w:hint="eastAsia" w:asciiTheme="minorEastAsia" w:hAnsiTheme="minorEastAsia"/>
          <w:szCs w:val="21"/>
        </w:rPr>
        <w:t>直销邮箱：</w:t>
      </w:r>
      <w:r>
        <w:rPr>
          <w:rFonts w:hint="default" w:ascii="Times New Roman" w:hAnsi="Times New Roman" w:cs="Times New Roman"/>
        </w:rPr>
        <w:t>bhhjzx@bhzq.com</w:t>
      </w:r>
    </w:p>
    <w:p>
      <w:pPr>
        <w:snapToGrid w:val="0"/>
        <w:spacing w:line="360" w:lineRule="auto"/>
        <w:ind w:right="141" w:rightChars="67" w:firstLine="275" w:firstLineChars="131"/>
        <w:rPr>
          <w:rFonts w:asciiTheme="minorEastAsia" w:hAnsiTheme="minorEastAsia"/>
          <w:szCs w:val="21"/>
        </w:rPr>
      </w:pPr>
      <w:r>
        <w:rPr>
          <w:rFonts w:hint="eastAsia" w:asciiTheme="minorEastAsia" w:hAnsiTheme="minorEastAsia"/>
          <w:szCs w:val="21"/>
        </w:rPr>
        <w:t>直销业务信函地址：天津市南开区宾水西道</w:t>
      </w:r>
      <w:r>
        <w:rPr>
          <w:rFonts w:hint="default" w:ascii="Times New Roman" w:hAnsi="Times New Roman" w:cs="Times New Roman"/>
        </w:rPr>
        <w:t>8</w:t>
      </w:r>
      <w:r>
        <w:rPr>
          <w:rFonts w:hint="eastAsia" w:asciiTheme="minorEastAsia" w:hAnsiTheme="minorEastAsia"/>
          <w:szCs w:val="21"/>
        </w:rPr>
        <w:t>号  渤海汇金直销收（</w:t>
      </w:r>
      <w:r>
        <w:rPr>
          <w:rFonts w:hint="default" w:ascii="Times New Roman" w:hAnsi="Times New Roman" w:cs="Times New Roman"/>
        </w:rPr>
        <w:t>300381</w:t>
      </w:r>
      <w:r>
        <w:rPr>
          <w:rFonts w:hint="eastAsia" w:asciiTheme="minorEastAsia" w:hAnsiTheme="minorEastAsia"/>
          <w:szCs w:val="21"/>
        </w:rPr>
        <w:t>）</w:t>
      </w:r>
    </w:p>
    <w:p>
      <w:pPr>
        <w:snapToGrid w:val="0"/>
        <w:spacing w:line="360" w:lineRule="auto"/>
        <w:ind w:right="141" w:rightChars="67" w:firstLine="275" w:firstLineChars="131"/>
        <w:rPr>
          <w:rFonts w:asciiTheme="minorEastAsia" w:hAnsiTheme="minorEastAsia"/>
          <w:szCs w:val="21"/>
        </w:rPr>
      </w:pPr>
      <w:r>
        <w:rPr>
          <w:rFonts w:hint="eastAsia" w:asciiTheme="minorEastAsia" w:hAnsiTheme="minorEastAsia"/>
          <w:szCs w:val="21"/>
        </w:rPr>
        <w:t>客服电话：</w:t>
      </w:r>
      <w:r>
        <w:rPr>
          <w:rFonts w:hint="default" w:ascii="Times New Roman" w:hAnsi="Times New Roman" w:cs="Times New Roman"/>
        </w:rPr>
        <w:t>400-651-1717</w:t>
      </w:r>
    </w:p>
    <w:p>
      <w:pPr>
        <w:snapToGrid w:val="0"/>
        <w:spacing w:line="360" w:lineRule="auto"/>
        <w:ind w:right="141" w:rightChars="67" w:firstLine="275" w:firstLineChars="131"/>
        <w:rPr>
          <w:rFonts w:asciiTheme="minorEastAsia" w:hAnsiTheme="minorEastAsia"/>
          <w:szCs w:val="21"/>
        </w:rPr>
      </w:pPr>
      <w:r>
        <w:rPr>
          <w:rFonts w:hint="eastAsia" w:asciiTheme="minorEastAsia" w:hAnsiTheme="minorEastAsia"/>
          <w:szCs w:val="21"/>
        </w:rPr>
        <w:t>公司网站：</w:t>
      </w:r>
      <w:r>
        <w:rPr>
          <w:rFonts w:hint="default" w:ascii="Times New Roman" w:hAnsi="Times New Roman" w:cs="Times New Roman"/>
        </w:rPr>
        <w:t>www.bhhjamc.com</w:t>
      </w:r>
    </w:p>
    <w:sectPr>
      <w:headerReference r:id="rId3" w:type="default"/>
      <w:footerReference r:id="rId4" w:type="default"/>
      <w:pgSz w:w="11906" w:h="16838"/>
      <w:pgMar w:top="567" w:right="991" w:bottom="720" w:left="993" w:header="227"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364203"/>
    </w:sdtPr>
    <w:sdtContent>
      <w:sdt>
        <w:sdtPr>
          <w:id w:val="-2086128710"/>
        </w:sdtPr>
        <w:sdtContent>
          <w:p>
            <w:pPr>
              <w:pStyle w:val="3"/>
              <w:jc w:val="center"/>
            </w:pPr>
            <w:r>
              <w:rPr>
                <w:lang w:val="zh-CN"/>
              </w:rPr>
              <w:t xml:space="preserve"> </w:t>
            </w:r>
            <w:r>
              <w:rPr>
                <w:rFonts w:ascii="Times New Roman" w:hAnsi="Times New Roman" w:cs="Times New Roman"/>
                <w:b/>
                <w:sz w:val="24"/>
                <w:szCs w:val="24"/>
              </w:rPr>
              <w:fldChar w:fldCharType="begin"/>
            </w:r>
            <w:r>
              <w:rPr>
                <w:rFonts w:ascii="Times New Roman" w:hAnsi="Times New Roman" w:cs="Times New Roman"/>
                <w:b/>
              </w:rPr>
              <w:instrText xml:space="preserve">PAGE</w:instrText>
            </w:r>
            <w:r>
              <w:rPr>
                <w:rFonts w:ascii="Times New Roman" w:hAnsi="Times New Roman" w:cs="Times New Roman"/>
                <w:b/>
                <w:sz w:val="24"/>
                <w:szCs w:val="24"/>
              </w:rPr>
              <w:fldChar w:fldCharType="separate"/>
            </w:r>
            <w:r>
              <w:rPr>
                <w:rFonts w:ascii="Times New Roman" w:hAnsi="Times New Roman" w:cs="Times New Roman"/>
                <w:b/>
              </w:rPr>
              <w:t>5</w:t>
            </w:r>
            <w:r>
              <w:rPr>
                <w:rFonts w:ascii="Times New Roman" w:hAnsi="Times New Roman" w:cs="Times New Roman"/>
                <w:b/>
                <w:sz w:val="24"/>
                <w:szCs w:val="24"/>
              </w:rPr>
              <w:fldChar w:fldCharType="end"/>
            </w:r>
            <w:r>
              <w:rPr>
                <w:rFonts w:ascii="Times New Roman" w:hAnsi="Times New Roman" w:cs="Times New Roman"/>
                <w:lang w:val="zh-CN"/>
              </w:rPr>
              <w:t xml:space="preserve"> / </w:t>
            </w:r>
            <w:r>
              <w:rPr>
                <w:rFonts w:ascii="Times New Roman" w:hAnsi="Times New Roman" w:cs="Times New Roman"/>
                <w:b/>
                <w:sz w:val="24"/>
                <w:szCs w:val="24"/>
              </w:rPr>
              <w:fldChar w:fldCharType="begin"/>
            </w:r>
            <w:r>
              <w:rPr>
                <w:rFonts w:ascii="Times New Roman" w:hAnsi="Times New Roman" w:cs="Times New Roman"/>
                <w:b/>
              </w:rPr>
              <w:instrText xml:space="preserve">NUMPAGES</w:instrText>
            </w:r>
            <w:r>
              <w:rPr>
                <w:rFonts w:ascii="Times New Roman" w:hAnsi="Times New Roman" w:cs="Times New Roman"/>
                <w:b/>
                <w:sz w:val="24"/>
                <w:szCs w:val="24"/>
              </w:rPr>
              <w:fldChar w:fldCharType="separate"/>
            </w:r>
            <w:r>
              <w:rPr>
                <w:rFonts w:ascii="Times New Roman" w:hAnsi="Times New Roman" w:cs="Times New Roman"/>
                <w:b/>
              </w:rPr>
              <w:t>5</w:t>
            </w:r>
            <w:r>
              <w:rPr>
                <w:rFonts w:ascii="Times New Roman" w:hAnsi="Times New Roman" w:cs="Times New Roman"/>
                <w:b/>
                <w:sz w:val="24"/>
                <w:szCs w:val="24"/>
              </w:rPr>
              <w:fldChar w:fldCharType="end"/>
            </w:r>
          </w:p>
        </w:sdtContent>
      </w:sdt>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rPr>
        <w:rFonts w:hint="eastAsia" w:ascii="黑体" w:hAnsi="黑体" w:eastAsia="黑体" w:cs="黑体"/>
        <w:sz w:val="30"/>
        <w:szCs w:val="30"/>
      </w:rPr>
      <w:t xml:space="preserve">渤海汇金证券资产管理有限公司 </w:t>
    </w:r>
    <w:r>
      <w:rPr>
        <w:rFonts w:hint="eastAsia"/>
      </w:rPr>
      <w:t xml:space="preserve">                     </w:t>
    </w:r>
    <w:r>
      <w:rPr>
        <w:rFonts w:hint="eastAsia"/>
        <w:lang w:val="en-US" w:eastAsia="zh-CN"/>
      </w:rPr>
      <w:t xml:space="preserve"> </w:t>
    </w:r>
    <w:r>
      <w:rPr>
        <w:rFonts w:hint="eastAsia"/>
      </w:rPr>
      <w:t xml:space="preserve">                      </w:t>
    </w:r>
    <w:r>
      <w:rPr>
        <w:rFonts w:hint="default" w:ascii="Times New Roman" w:hAnsi="Times New Roman" w:cs="Times New Roman"/>
      </w:rPr>
      <w:t>V2024.001</w:t>
    </w: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Full" w:cryptAlgorithmClass="hash" w:cryptAlgorithmType="typeAny" w:cryptAlgorithmSid="4" w:cryptSpinCount="0" w:hash="DLjzS2h7aNKodnDPBSqf0DeEKks=" w:salt="8fd1KoI9FXgLgoE3mW9hZQ=="/>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IxMWY0YTc5ZjA2YTQ3YTk4NDU2MjA3YWVhZTIwZWMifQ=="/>
  </w:docVars>
  <w:rsids>
    <w:rsidRoot w:val="00705C49"/>
    <w:rsid w:val="000059EC"/>
    <w:rsid w:val="00033852"/>
    <w:rsid w:val="000859EA"/>
    <w:rsid w:val="00092FEB"/>
    <w:rsid w:val="000B44A1"/>
    <w:rsid w:val="000C3CD2"/>
    <w:rsid w:val="000F3A50"/>
    <w:rsid w:val="000F50F7"/>
    <w:rsid w:val="001215FB"/>
    <w:rsid w:val="001336A4"/>
    <w:rsid w:val="00136104"/>
    <w:rsid w:val="00143EB2"/>
    <w:rsid w:val="0019642B"/>
    <w:rsid w:val="001B0E26"/>
    <w:rsid w:val="001B3472"/>
    <w:rsid w:val="001D584C"/>
    <w:rsid w:val="001F1525"/>
    <w:rsid w:val="0021182D"/>
    <w:rsid w:val="002137C4"/>
    <w:rsid w:val="00250D8B"/>
    <w:rsid w:val="002649E5"/>
    <w:rsid w:val="002A4CFD"/>
    <w:rsid w:val="002A4E52"/>
    <w:rsid w:val="002A7BBF"/>
    <w:rsid w:val="002D4EFC"/>
    <w:rsid w:val="002E1F17"/>
    <w:rsid w:val="00312215"/>
    <w:rsid w:val="00351347"/>
    <w:rsid w:val="00376BB7"/>
    <w:rsid w:val="0038035F"/>
    <w:rsid w:val="00384B8D"/>
    <w:rsid w:val="00386361"/>
    <w:rsid w:val="003B5C38"/>
    <w:rsid w:val="003C5EAB"/>
    <w:rsid w:val="003D4B98"/>
    <w:rsid w:val="003F27B0"/>
    <w:rsid w:val="00400CDE"/>
    <w:rsid w:val="00407667"/>
    <w:rsid w:val="0043217F"/>
    <w:rsid w:val="004352CB"/>
    <w:rsid w:val="0043671E"/>
    <w:rsid w:val="00462C84"/>
    <w:rsid w:val="004738F5"/>
    <w:rsid w:val="00486DD2"/>
    <w:rsid w:val="004A2804"/>
    <w:rsid w:val="004F24CC"/>
    <w:rsid w:val="00500420"/>
    <w:rsid w:val="0052218D"/>
    <w:rsid w:val="00531133"/>
    <w:rsid w:val="005400D6"/>
    <w:rsid w:val="00540B9A"/>
    <w:rsid w:val="00546EC2"/>
    <w:rsid w:val="00550C0D"/>
    <w:rsid w:val="00591DDE"/>
    <w:rsid w:val="005B696F"/>
    <w:rsid w:val="006116F5"/>
    <w:rsid w:val="00625769"/>
    <w:rsid w:val="00642A1C"/>
    <w:rsid w:val="006444F1"/>
    <w:rsid w:val="00646A34"/>
    <w:rsid w:val="0067573B"/>
    <w:rsid w:val="006828AB"/>
    <w:rsid w:val="0068369D"/>
    <w:rsid w:val="00693892"/>
    <w:rsid w:val="006A2148"/>
    <w:rsid w:val="006E04A3"/>
    <w:rsid w:val="006E7441"/>
    <w:rsid w:val="00702B87"/>
    <w:rsid w:val="00705C49"/>
    <w:rsid w:val="0072007D"/>
    <w:rsid w:val="0073298E"/>
    <w:rsid w:val="00756438"/>
    <w:rsid w:val="00795726"/>
    <w:rsid w:val="007B773F"/>
    <w:rsid w:val="007C0F02"/>
    <w:rsid w:val="007C1D47"/>
    <w:rsid w:val="007C7EF3"/>
    <w:rsid w:val="007F28AE"/>
    <w:rsid w:val="0081563E"/>
    <w:rsid w:val="0082738F"/>
    <w:rsid w:val="0085571F"/>
    <w:rsid w:val="00861104"/>
    <w:rsid w:val="00875005"/>
    <w:rsid w:val="00887BF1"/>
    <w:rsid w:val="0089258D"/>
    <w:rsid w:val="00894723"/>
    <w:rsid w:val="008A187F"/>
    <w:rsid w:val="008A38DC"/>
    <w:rsid w:val="00926FC4"/>
    <w:rsid w:val="00935C06"/>
    <w:rsid w:val="0095078D"/>
    <w:rsid w:val="00963ACB"/>
    <w:rsid w:val="00970639"/>
    <w:rsid w:val="00993058"/>
    <w:rsid w:val="009B4D97"/>
    <w:rsid w:val="009B56C9"/>
    <w:rsid w:val="009B75E3"/>
    <w:rsid w:val="009D6B74"/>
    <w:rsid w:val="009F3192"/>
    <w:rsid w:val="009F7403"/>
    <w:rsid w:val="00A00CE6"/>
    <w:rsid w:val="00A32B1A"/>
    <w:rsid w:val="00A41606"/>
    <w:rsid w:val="00A471A8"/>
    <w:rsid w:val="00A47BAF"/>
    <w:rsid w:val="00A52FA2"/>
    <w:rsid w:val="00A55A95"/>
    <w:rsid w:val="00A76143"/>
    <w:rsid w:val="00AA3862"/>
    <w:rsid w:val="00AB7E21"/>
    <w:rsid w:val="00AD1A6D"/>
    <w:rsid w:val="00AF0CB1"/>
    <w:rsid w:val="00B00677"/>
    <w:rsid w:val="00B026EF"/>
    <w:rsid w:val="00B0460F"/>
    <w:rsid w:val="00B11272"/>
    <w:rsid w:val="00B148A2"/>
    <w:rsid w:val="00B223F4"/>
    <w:rsid w:val="00B37859"/>
    <w:rsid w:val="00B511A6"/>
    <w:rsid w:val="00B52F0E"/>
    <w:rsid w:val="00B61F46"/>
    <w:rsid w:val="00B87E46"/>
    <w:rsid w:val="00BD75B8"/>
    <w:rsid w:val="00C02DE7"/>
    <w:rsid w:val="00C0495E"/>
    <w:rsid w:val="00C20E1F"/>
    <w:rsid w:val="00C22941"/>
    <w:rsid w:val="00C35035"/>
    <w:rsid w:val="00C95024"/>
    <w:rsid w:val="00CB3BEC"/>
    <w:rsid w:val="00CB4E47"/>
    <w:rsid w:val="00CD0F6A"/>
    <w:rsid w:val="00D12013"/>
    <w:rsid w:val="00D17C04"/>
    <w:rsid w:val="00D273F5"/>
    <w:rsid w:val="00D41647"/>
    <w:rsid w:val="00D52EDF"/>
    <w:rsid w:val="00D95694"/>
    <w:rsid w:val="00D968E3"/>
    <w:rsid w:val="00DA1026"/>
    <w:rsid w:val="00DA3B50"/>
    <w:rsid w:val="00DA5F96"/>
    <w:rsid w:val="00DB069C"/>
    <w:rsid w:val="00DB7DF5"/>
    <w:rsid w:val="00DD3027"/>
    <w:rsid w:val="00E00111"/>
    <w:rsid w:val="00E35A79"/>
    <w:rsid w:val="00E439D9"/>
    <w:rsid w:val="00E45426"/>
    <w:rsid w:val="00E660CF"/>
    <w:rsid w:val="00E724F2"/>
    <w:rsid w:val="00E8313B"/>
    <w:rsid w:val="00EA2208"/>
    <w:rsid w:val="00EA39D5"/>
    <w:rsid w:val="00EC1B07"/>
    <w:rsid w:val="00ED0FC8"/>
    <w:rsid w:val="00F01651"/>
    <w:rsid w:val="00F20444"/>
    <w:rsid w:val="00F324DE"/>
    <w:rsid w:val="00F61507"/>
    <w:rsid w:val="00F71D54"/>
    <w:rsid w:val="00F90E95"/>
    <w:rsid w:val="00FA435E"/>
    <w:rsid w:val="00FB440E"/>
    <w:rsid w:val="00FB7FCD"/>
    <w:rsid w:val="00FC05B4"/>
    <w:rsid w:val="00FD2697"/>
    <w:rsid w:val="23DF3EE3"/>
    <w:rsid w:val="3F3A594E"/>
    <w:rsid w:val="456C4A73"/>
    <w:rsid w:val="4ED80017"/>
    <w:rsid w:val="516E2F4C"/>
    <w:rsid w:val="52641A73"/>
    <w:rsid w:val="597D7805"/>
    <w:rsid w:val="71404155"/>
    <w:rsid w:val="7220273C"/>
    <w:rsid w:val="736112C7"/>
    <w:rsid w:val="768823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99"/>
    <w:rPr>
      <w:sz w:val="18"/>
      <w:szCs w:val="18"/>
    </w:rPr>
  </w:style>
  <w:style w:type="paragraph" w:styleId="3">
    <w:name w:val="footer"/>
    <w:basedOn w:val="1"/>
    <w:link w:val="11"/>
    <w:autoRedefine/>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批注框文本 字符"/>
    <w:basedOn w:val="7"/>
    <w:link w:val="2"/>
    <w:autoRedefine/>
    <w:semiHidden/>
    <w:qFormat/>
    <w:uiPriority w:val="99"/>
    <w:rPr>
      <w:sz w:val="18"/>
      <w:szCs w:val="18"/>
    </w:rPr>
  </w:style>
  <w:style w:type="character" w:customStyle="1" w:styleId="10">
    <w:name w:val="页眉 字符"/>
    <w:basedOn w:val="7"/>
    <w:link w:val="4"/>
    <w:autoRedefine/>
    <w:qFormat/>
    <w:uiPriority w:val="99"/>
    <w:rPr>
      <w:sz w:val="18"/>
      <w:szCs w:val="18"/>
    </w:rPr>
  </w:style>
  <w:style w:type="character" w:customStyle="1" w:styleId="11">
    <w:name w:val="页脚 字符"/>
    <w:basedOn w:val="7"/>
    <w:link w:val="3"/>
    <w:qFormat/>
    <w:uiPriority w:val="99"/>
    <w:rPr>
      <w:sz w:val="18"/>
      <w:szCs w:val="18"/>
    </w:rPr>
  </w:style>
  <w:style w:type="paragraph" w:customStyle="1" w:styleId="12">
    <w:name w:val="Default"/>
    <w:qFormat/>
    <w:uiPriority w:val="99"/>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13">
    <w:name w:val="List Paragraph"/>
    <w:basedOn w:val="1"/>
    <w:qFormat/>
    <w:uiPriority w:val="34"/>
    <w:pPr>
      <w:ind w:firstLine="420" w:firstLineChars="200"/>
    </w:pPr>
  </w:style>
  <w:style w:type="paragraph" w:customStyle="1" w:styleId="14">
    <w:name w:val="大标题"/>
    <w:basedOn w:val="1"/>
    <w:link w:val="15"/>
    <w:qFormat/>
    <w:uiPriority w:val="0"/>
    <w:pPr>
      <w:tabs>
        <w:tab w:val="left" w:pos="1418"/>
      </w:tabs>
      <w:spacing w:line="360" w:lineRule="auto"/>
    </w:pPr>
    <w:rPr>
      <w:rFonts w:hint="eastAsia" w:ascii="仿宋_GB2312" w:hAnsi="Calibri" w:eastAsia="仿宋_GB2312" w:cs="Times New Roman"/>
      <w:kern w:val="0"/>
      <w:sz w:val="28"/>
      <w:szCs w:val="28"/>
    </w:rPr>
  </w:style>
  <w:style w:type="character" w:customStyle="1" w:styleId="15">
    <w:name w:val="大标题 Char"/>
    <w:basedOn w:val="7"/>
    <w:link w:val="14"/>
    <w:qFormat/>
    <w:uiPriority w:val="0"/>
    <w:rPr>
      <w:rFonts w:hint="eastAsia" w:ascii="仿宋_GB2312" w:eastAsia="仿宋_GB2312" w:cs="仿宋_GB2312"/>
      <w:sz w:val="28"/>
      <w:szCs w:val="28"/>
    </w:rPr>
  </w:style>
  <w:style w:type="paragraph" w:customStyle="1" w:styleId="16">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722</Words>
  <Characters>4120</Characters>
  <Lines>34</Lines>
  <Paragraphs>9</Paragraphs>
  <TotalTime>4</TotalTime>
  <ScaleCrop>false</ScaleCrop>
  <LinksUpToDate>false</LinksUpToDate>
  <CharactersWithSpaces>4833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2021-12-13T11:22:00Z</dcterms:created>
  <dc:creator>dell</dc:creator>
  <cp:lastModifiedBy>bhhj</cp:lastModifiedBy>
  <cp:lastPrinted>2020-11-12T05:19:00Z</cp:lastPrinted>
  <dcterms:modified xsi:type="dcterms:W3CDTF">2023-12-28T07:09:31Z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D8F99A101AA5417A88010CB8312BA7DA_13</vt:lpwstr>
  </property>
</Properties>
</file>