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基金募集机构投资者适当性管理实施指引（试行）</w:t>
      </w:r>
    </w:p>
    <w:p>
      <w:pPr>
        <w:spacing w:line="360" w:lineRule="auto"/>
        <w:jc w:val="center"/>
        <w:rPr>
          <w:rFonts w:ascii="仿宋" w:hAnsi="仿宋" w:eastAsia="仿宋"/>
          <w:sz w:val="32"/>
          <w:szCs w:val="32"/>
        </w:rPr>
      </w:pPr>
    </w:p>
    <w:p>
      <w:pPr>
        <w:spacing w:line="360" w:lineRule="auto"/>
        <w:rPr>
          <w:rFonts w:ascii="仿宋" w:hAnsi="仿宋" w:eastAsia="仿宋"/>
          <w:sz w:val="32"/>
          <w:szCs w:val="32"/>
        </w:rPr>
      </w:pPr>
    </w:p>
    <w:p>
      <w:pPr>
        <w:spacing w:line="360" w:lineRule="auto"/>
        <w:jc w:val="center"/>
        <w:rPr>
          <w:rFonts w:ascii="仿宋" w:hAnsi="仿宋" w:eastAsia="仿宋"/>
          <w:b/>
          <w:sz w:val="32"/>
          <w:szCs w:val="32"/>
        </w:rPr>
      </w:pPr>
      <w:r>
        <w:rPr>
          <w:rFonts w:hint="eastAsia" w:ascii="仿宋" w:hAnsi="仿宋" w:eastAsia="仿宋"/>
          <w:b/>
          <w:sz w:val="32"/>
          <w:szCs w:val="32"/>
        </w:rPr>
        <w:t>第一章 总则</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第一条</w:t>
      </w:r>
      <w:r>
        <w:rPr>
          <w:rFonts w:hint="eastAsia" w:ascii="仿宋" w:hAnsi="仿宋" w:eastAsia="仿宋"/>
          <w:sz w:val="32"/>
          <w:szCs w:val="32"/>
        </w:rPr>
        <w:t xml:space="preserve"> 为规范基金募集机构销售行为，指导投资者适当性管理制度的有效落实，维护投资者合法权益，依据《证券投资基金法》、《证券期货投资者适当性管理办法》（以下简称《办法》）、《证券投资基金销售管理办法》、《私募投资基金监督管理暂行办法》、《证券投资基金销售适用性指导意见》、《私募投资基金募集行为管理办法》及其他法律法规制定本指引。</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第二条</w:t>
      </w:r>
      <w:r>
        <w:rPr>
          <w:rFonts w:hint="eastAsia" w:ascii="仿宋" w:hAnsi="仿宋" w:eastAsia="仿宋"/>
          <w:sz w:val="32"/>
          <w:szCs w:val="32"/>
        </w:rPr>
        <w:t xml:space="preserve"> 基金募集机构向投资者公开或者非公开募集的证券投资基金和股权投资基金（包括创业投资基金）产品，或者为投资者提供相关业务服务的（以下统称基金产品或者服务），适用本办法。</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基金募集机构是指公募基金管理人、私募基金管理人（以下统称基金管理人），在中国证监会注册取得基金销售业务资格并已成为中国证券投资基金业协会（以下简称协会）会员的机构。</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第三条</w:t>
      </w:r>
      <w:r>
        <w:rPr>
          <w:rFonts w:hint="eastAsia" w:ascii="仿宋" w:hAnsi="仿宋" w:eastAsia="仿宋"/>
          <w:sz w:val="32"/>
          <w:szCs w:val="32"/>
        </w:rPr>
        <w:t xml:space="preserve"> 投资者适当性是指基金募集机构在销售基金产品或者服务的过程中，根据投资者的风险承受能力销售不同风险等级的基金产品或者服务，把合适的基金产品或者服务卖给合适的投资者。</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本指引所称的专业投资者，为符合本指引第二十二条规定的投资者；普通投资者，为符合本指引第二十六条规定的投资者；风险承受能力最低类别投资者，为符合本指引第二十九条规定的投资者。</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第四条</w:t>
      </w:r>
      <w:r>
        <w:rPr>
          <w:rFonts w:hint="eastAsia" w:ascii="仿宋" w:hAnsi="仿宋" w:eastAsia="仿宋"/>
          <w:sz w:val="32"/>
          <w:szCs w:val="32"/>
        </w:rPr>
        <w:t xml:space="preserve"> 基金募集机构按照本指引，建立健全投资者适当性管理制度。在销售基金产品或者服务过程中，勤勉尽责，诚实信用深入调查分析基金管理人、基金产品或者服务及投资者信息，充分揭示基金产品或者服务风险，降低投诉风险。</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第五条</w:t>
      </w:r>
      <w:r>
        <w:rPr>
          <w:rFonts w:hint="eastAsia" w:ascii="仿宋" w:hAnsi="仿宋" w:eastAsia="仿宋"/>
          <w:sz w:val="32"/>
          <w:szCs w:val="32"/>
        </w:rPr>
        <w:t xml:space="preserve"> 协会依据法律法规和自律规则，对基金募集机构投资者适当性制度建立及实施情况进行自律管理。</w:t>
      </w:r>
    </w:p>
    <w:p>
      <w:pPr>
        <w:spacing w:line="360" w:lineRule="auto"/>
        <w:rPr>
          <w:rFonts w:ascii="仿宋" w:hAnsi="仿宋" w:eastAsia="仿宋"/>
          <w:sz w:val="32"/>
          <w:szCs w:val="32"/>
        </w:rPr>
      </w:pPr>
    </w:p>
    <w:p>
      <w:pPr>
        <w:spacing w:line="360" w:lineRule="auto"/>
        <w:jc w:val="center"/>
        <w:rPr>
          <w:rFonts w:ascii="仿宋" w:hAnsi="仿宋" w:eastAsia="仿宋"/>
          <w:b/>
          <w:sz w:val="32"/>
          <w:szCs w:val="32"/>
        </w:rPr>
      </w:pPr>
      <w:r>
        <w:rPr>
          <w:rFonts w:hint="eastAsia" w:ascii="仿宋" w:hAnsi="仿宋" w:eastAsia="仿宋"/>
          <w:b/>
          <w:sz w:val="32"/>
          <w:szCs w:val="32"/>
        </w:rPr>
        <w:t>第二章 一般规定</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第六条</w:t>
      </w:r>
      <w:r>
        <w:rPr>
          <w:rFonts w:hint="eastAsia" w:ascii="仿宋" w:hAnsi="仿宋" w:eastAsia="仿宋"/>
          <w:sz w:val="32"/>
          <w:szCs w:val="32"/>
        </w:rPr>
        <w:t xml:space="preserve"> 基金募集机构在实施投资者适当性的过程中遵循以下指导原则：</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（一）投资者利益优先原则。当基金募集机构或基金销售人员的利益与投资者的利益发生冲突时，优先保障投资者的合法利益；</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客观性原则。建立科学合理的方法，设置必要的标准和流程，保证适当性管理的实施。对基金管理人、基金产品或者服务和投资者的调查和评价，尽力做到客观准确，并作为基金销售人员向投资者推介合适基金产品或者服务的重要依据；</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（三）有效性原则。通过建立科学的投资者适当性管理制度与方法，确保投资者适当性管理的有效执行；</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（四）差异性原则。对投资者进行分类管理，对普通投资者和专业投资者实施差别适当性管理，履行差别适当性义务。</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第七条</w:t>
      </w:r>
      <w:r>
        <w:rPr>
          <w:rFonts w:hint="eastAsia" w:ascii="仿宋" w:hAnsi="仿宋" w:eastAsia="仿宋"/>
          <w:sz w:val="32"/>
          <w:szCs w:val="32"/>
        </w:rPr>
        <w:t xml:space="preserve"> 基金募集机构建立适当性管理制度，至少包括以下内容：</w:t>
      </w:r>
    </w:p>
    <w:p>
      <w:pPr>
        <w:spacing w:line="360" w:lineRule="auto"/>
        <w:rPr>
          <w:rFonts w:ascii="仿宋" w:hAnsi="仿宋" w:eastAsia="仿宋"/>
          <w:sz w:val="32"/>
          <w:szCs w:val="32"/>
        </w:rPr>
      </w:pPr>
      <w:r>
        <w:rPr>
          <w:rFonts w:hint="eastAsia" w:ascii="仿宋" w:hAnsi="仿宋" w:eastAsia="仿宋"/>
          <w:sz w:val="32"/>
          <w:szCs w:val="32"/>
        </w:rPr>
        <w:t xml:space="preserve">    （一）对基金管理人进行审慎调查的方式和方法；</w:t>
      </w:r>
    </w:p>
    <w:p>
      <w:pPr>
        <w:spacing w:line="360" w:lineRule="auto"/>
        <w:rPr>
          <w:rFonts w:ascii="仿宋" w:hAnsi="仿宋" w:eastAsia="仿宋"/>
          <w:sz w:val="32"/>
          <w:szCs w:val="32"/>
        </w:rPr>
      </w:pPr>
      <w:r>
        <w:rPr>
          <w:rFonts w:hint="eastAsia" w:ascii="宋体" w:hAnsi="宋体" w:eastAsia="宋体" w:cs="宋体"/>
          <w:sz w:val="32"/>
          <w:szCs w:val="32"/>
        </w:rPr>
        <w:t>  </w:t>
      </w:r>
      <w:r>
        <w:rPr>
          <w:rFonts w:hint="eastAsia" w:ascii="仿宋" w:hAnsi="仿宋" w:eastAsia="仿宋"/>
          <w:sz w:val="32"/>
          <w:szCs w:val="32"/>
        </w:rPr>
        <w:t>（二）对基金产品或者服务的风险等级进行设置、对基金产品或者服务进行风险评价的方式或方法；</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（三）对投资者进行分类的方法和程序、投资者转化的方法和程序；</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（四）对普通投资者风险承受能力进行调查和评价的方式和方法；</w:t>
      </w:r>
      <w:r>
        <w:rPr>
          <w:rFonts w:ascii="仿宋" w:hAnsi="仿宋" w:eastAsia="仿宋"/>
          <w:sz w:val="32"/>
          <w:szCs w:val="32"/>
        </w:rPr>
        <w:t xml:space="preserve"> </w:t>
      </w:r>
    </w:p>
    <w:p>
      <w:pPr>
        <w:spacing w:line="360" w:lineRule="auto"/>
        <w:rPr>
          <w:rFonts w:ascii="仿宋" w:hAnsi="仿宋" w:eastAsia="仿宋"/>
          <w:sz w:val="32"/>
          <w:szCs w:val="32"/>
        </w:rPr>
      </w:pPr>
      <w:r>
        <w:rPr>
          <w:rFonts w:hint="eastAsia" w:ascii="宋体" w:hAnsi="宋体" w:eastAsia="宋体" w:cs="宋体"/>
          <w:sz w:val="32"/>
          <w:szCs w:val="32"/>
        </w:rPr>
        <w:t>  </w:t>
      </w:r>
      <w:r>
        <w:rPr>
          <w:rFonts w:hint="eastAsia" w:ascii="仿宋" w:hAnsi="仿宋" w:eastAsia="仿宋"/>
          <w:sz w:val="32"/>
          <w:szCs w:val="32"/>
        </w:rPr>
        <w:t>（五）对基金产品或者服务和投资者进行匹配的方法；</w:t>
      </w:r>
    </w:p>
    <w:p>
      <w:pPr>
        <w:spacing w:line="360" w:lineRule="auto"/>
        <w:rPr>
          <w:rFonts w:ascii="仿宋" w:hAnsi="仿宋" w:eastAsia="仿宋"/>
          <w:sz w:val="32"/>
          <w:szCs w:val="32"/>
        </w:rPr>
      </w:pPr>
      <w:r>
        <w:rPr>
          <w:rFonts w:hint="eastAsia" w:ascii="仿宋" w:hAnsi="仿宋" w:eastAsia="仿宋"/>
          <w:sz w:val="32"/>
          <w:szCs w:val="32"/>
        </w:rPr>
        <w:t xml:space="preserve">    （六）投资者适当性管理的保障措施和风控制度。</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第八条</w:t>
      </w:r>
      <w:r>
        <w:rPr>
          <w:rFonts w:hint="eastAsia" w:ascii="仿宋" w:hAnsi="仿宋" w:eastAsia="仿宋"/>
          <w:sz w:val="32"/>
          <w:szCs w:val="32"/>
        </w:rPr>
        <w:t xml:space="preserve"> 基金募集机构选择销售基金产品或者服务，要对基金管理人进行审慎调查并做出评价，了解基金管理人的诚信状况、经营管理能力、投资管理能力产品设计能力和内部控制情况，并可将调查结果作为是否销售该基金管理人产品或者服务、是否向投资者推介该基金管理人的重要依据。</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基金管理人在选择基金募集机构时，为确保适当性的贯彻实施，要对基金募集机构进行审慎调查，了解基金募集机构的内部控制情况、信息管理平台建设、账户管理制度、销售人员能力和持续营销能力，并可将调查结果作为选择基金募集机构的重要依据。</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第九条</w:t>
      </w:r>
      <w:bookmarkStart w:id="0" w:name="OLE_LINK2"/>
      <w:bookmarkStart w:id="1" w:name="OLE_LINK1"/>
      <w:r>
        <w:rPr>
          <w:rFonts w:hint="eastAsia" w:ascii="仿宋" w:hAnsi="仿宋" w:eastAsia="仿宋"/>
          <w:sz w:val="32"/>
          <w:szCs w:val="32"/>
        </w:rPr>
        <w:t xml:space="preserve"> 基金募集机构要建立对销售人员的考核、监督问责、培训等机制规范销售人员履行投资者适当性工作职责的情况。</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基金募集机构不得采取鼓励其向投资者销售不适当基金产品或者服务的考核、激励机制或措施。</w:t>
      </w:r>
    </w:p>
    <w:bookmarkEnd w:id="0"/>
    <w:bookmarkEnd w:id="1"/>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第十条</w:t>
      </w:r>
      <w:r>
        <w:rPr>
          <w:rFonts w:hint="eastAsia" w:ascii="仿宋" w:hAnsi="仿宋" w:eastAsia="仿宋"/>
          <w:sz w:val="32"/>
          <w:szCs w:val="32"/>
        </w:rPr>
        <w:t xml:space="preserve"> 基金募集机构要加强对销售人员的日常管理，建立管理档案，对销售人员行为、诚信、奖惩等方面进行记录。</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第十一条</w:t>
      </w:r>
      <w:r>
        <w:rPr>
          <w:rFonts w:hint="eastAsia" w:ascii="仿宋" w:hAnsi="仿宋" w:eastAsia="仿宋"/>
          <w:sz w:val="32"/>
          <w:szCs w:val="32"/>
        </w:rPr>
        <w:t xml:space="preserve"> 基金募集机构及其销售人员要对履行投资者适当性管理职责过程中获取的投资者信息、投资者风险承受能力评价结果等信息和资料严格保密，防止该等信息和资料泄露或被不当利用。</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第十二条</w:t>
      </w:r>
      <w:r>
        <w:rPr>
          <w:rFonts w:hint="eastAsia" w:ascii="仿宋" w:hAnsi="仿宋" w:eastAsia="仿宋"/>
          <w:sz w:val="32"/>
          <w:szCs w:val="32"/>
        </w:rPr>
        <w:t xml:space="preserve"> 基金募集机构要建立健全普通投资者回访制度，对购买基金产品或者服务的普通投资者定期抽取一定比例进行回访，对持有R5等级基金产品或者服务的普通投资者增加回访比例和频次。</w:t>
      </w:r>
    </w:p>
    <w:p>
      <w:pPr>
        <w:spacing w:line="360" w:lineRule="auto"/>
        <w:ind w:firstLine="640" w:firstLineChars="200"/>
        <w:rPr>
          <w:rFonts w:ascii="仿宋" w:hAnsi="仿宋" w:eastAsia="仿宋"/>
          <w:sz w:val="32"/>
          <w:szCs w:val="32"/>
        </w:rPr>
      </w:pPr>
      <w:r>
        <w:rPr>
          <w:rFonts w:hint="eastAsia" w:ascii="仿宋" w:hAnsi="仿宋" w:eastAsia="仿宋"/>
          <w:color w:val="000000"/>
          <w:sz w:val="32"/>
          <w:szCs w:val="32"/>
        </w:rPr>
        <w:t>基金募集机构对回访时发现的异常情况进行持续跟踪，对异常情况进行核查，存在风险隐患的及时排查，并定期整理总结，以完善投资者适当性制度。</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第十三条</w:t>
      </w:r>
      <w:r>
        <w:rPr>
          <w:rFonts w:hint="eastAsia" w:ascii="仿宋" w:hAnsi="仿宋" w:eastAsia="仿宋"/>
          <w:sz w:val="32"/>
          <w:szCs w:val="32"/>
        </w:rPr>
        <w:t xml:space="preserve"> 回访内容包括但不限于以下信息：</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（一）受访人是否为投资者本人；</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（二）受访人是否已知晓基金产品或者服务的风险以及相关风险警示；</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（三）受访人是否已知晓自己的风险承受能力等级、购买的基金产品或者接受的服务的风险等级以及适当性匹配意见；</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（四）受访人是否知晓承担的费用以及可能产生的投资损失；</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（五）基金募集机构及其工作人员是否存在《办法》第二十二条规定的禁止行为。</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第十四条</w:t>
      </w:r>
      <w:r>
        <w:rPr>
          <w:rFonts w:hint="eastAsia" w:ascii="仿宋" w:hAnsi="仿宋" w:eastAsia="仿宋"/>
          <w:sz w:val="32"/>
          <w:szCs w:val="32"/>
        </w:rPr>
        <w:t xml:space="preserve"> 基金募集机构要建立完备的投资者投诉处理体系，准确记录投资者投诉内容。</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基金募集机构要妥善处理因履行投资者适当性职责引起的投资者投诉，及时发现业务风险，完善内控制度。</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第十五条</w:t>
      </w:r>
      <w:r>
        <w:rPr>
          <w:rFonts w:hint="eastAsia" w:ascii="仿宋" w:hAnsi="仿宋" w:eastAsia="仿宋"/>
          <w:sz w:val="32"/>
          <w:szCs w:val="32"/>
        </w:rPr>
        <w:t xml:space="preserve"> 基金募集机构每半年开展一次投资者适当性管理自查。自查可以采取现场、非现场及暗访相结合的方式进行，并形成自查报告留存备查。</w:t>
      </w:r>
    </w:p>
    <w:p>
      <w:pPr>
        <w:spacing w:line="360" w:lineRule="auto"/>
        <w:ind w:firstLine="640" w:firstLineChars="200"/>
        <w:rPr>
          <w:rFonts w:ascii="仿宋" w:hAnsi="仿宋" w:eastAsia="仿宋"/>
          <w:sz w:val="32"/>
          <w:szCs w:val="32"/>
        </w:rPr>
      </w:pPr>
      <w:r>
        <w:rPr>
          <w:rFonts w:hint="eastAsia" w:ascii="仿宋" w:hAnsi="仿宋" w:eastAsia="仿宋"/>
          <w:sz w:val="32"/>
          <w:szCs w:val="32"/>
        </w:rPr>
        <w:t>自查内容包括但不限于投资者适当性管理制度建设及落实情况，人员考核及培训情况，投资者投诉处理情况，发现业务风险及时整改情况，以及其他需要报告的事项。</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第十六条</w:t>
      </w:r>
      <w:r>
        <w:rPr>
          <w:rFonts w:hint="eastAsia" w:ascii="仿宋" w:hAnsi="仿宋" w:eastAsia="仿宋"/>
          <w:sz w:val="32"/>
          <w:szCs w:val="32"/>
        </w:rPr>
        <w:t xml:space="preserve"> 基金募集机构通过营业网点等现场方式执行普通投资者申请成为专业投资者，向普通投资者销售高风险产品或者服务，调整投资者分类、基金产品或者服务分级以及适当性匹配意见，向普通投资者销售基金产品或者服务前对其进行风险提示的环节要录音或者录像；通过互联网等非现场方式执行的，基金募集机构及合作平台要完善信息管理平台留痕功能，记录投资者确认信息。</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第十七条</w:t>
      </w:r>
      <w:r>
        <w:rPr>
          <w:rFonts w:hint="eastAsia" w:ascii="仿宋" w:hAnsi="仿宋" w:eastAsia="仿宋"/>
          <w:sz w:val="32"/>
          <w:szCs w:val="32"/>
        </w:rPr>
        <w:t xml:space="preserve"> 基金募集机构要建立完善的档案管理制度，妥善保存投资者适当性管理业务资料。投资者适当性管理制度、投资者信息资料、告知警示投资者资料、录音录像资料、自查报告等至少保存20年。</w:t>
      </w:r>
    </w:p>
    <w:p>
      <w:pPr>
        <w:spacing w:line="360" w:lineRule="auto"/>
        <w:jc w:val="center"/>
        <w:rPr>
          <w:rFonts w:ascii="仿宋" w:hAnsi="仿宋" w:eastAsia="仿宋"/>
          <w:b/>
          <w:sz w:val="32"/>
          <w:szCs w:val="32"/>
        </w:rPr>
      </w:pPr>
    </w:p>
    <w:p>
      <w:pPr>
        <w:spacing w:line="360" w:lineRule="auto"/>
        <w:jc w:val="center"/>
        <w:rPr>
          <w:rFonts w:ascii="仿宋" w:hAnsi="仿宋" w:eastAsia="仿宋"/>
          <w:sz w:val="32"/>
          <w:szCs w:val="32"/>
        </w:rPr>
      </w:pPr>
      <w:r>
        <w:rPr>
          <w:rFonts w:hint="eastAsia" w:ascii="仿宋" w:hAnsi="仿宋" w:eastAsia="仿宋"/>
          <w:b/>
          <w:sz w:val="32"/>
          <w:szCs w:val="32"/>
        </w:rPr>
        <w:t>第三章 投资者分类</w:t>
      </w:r>
    </w:p>
    <w:p>
      <w:pPr>
        <w:ind w:firstLine="643" w:firstLineChars="200"/>
        <w:rPr>
          <w:rFonts w:ascii="仿宋" w:hAnsi="仿宋" w:eastAsia="仿宋"/>
          <w:sz w:val="32"/>
          <w:szCs w:val="32"/>
        </w:rPr>
      </w:pPr>
      <w:r>
        <w:rPr>
          <w:rFonts w:hint="eastAsia" w:ascii="仿宋" w:hAnsi="仿宋" w:eastAsia="仿宋"/>
          <w:b/>
          <w:sz w:val="32"/>
          <w:szCs w:val="32"/>
        </w:rPr>
        <w:t>第十八条</w:t>
      </w:r>
      <w:r>
        <w:rPr>
          <w:rFonts w:hint="eastAsia" w:ascii="仿宋" w:hAnsi="仿宋" w:eastAsia="仿宋"/>
          <w:sz w:val="32"/>
          <w:szCs w:val="32"/>
        </w:rPr>
        <w:t xml:space="preserve"> 基金募集机构要根据自然人投资者、机构投资者、金融机构理财产品的各自特点，向投资者提供具有针对性的投资者信息表。</w:t>
      </w:r>
    </w:p>
    <w:p>
      <w:pPr>
        <w:ind w:firstLine="630"/>
        <w:rPr>
          <w:rFonts w:ascii="仿宋" w:hAnsi="仿宋" w:eastAsia="仿宋"/>
          <w:sz w:val="32"/>
          <w:szCs w:val="32"/>
        </w:rPr>
      </w:pPr>
      <w:r>
        <w:rPr>
          <w:rFonts w:hint="eastAsia" w:ascii="仿宋" w:hAnsi="仿宋" w:eastAsia="仿宋"/>
          <w:sz w:val="32"/>
          <w:szCs w:val="32"/>
        </w:rPr>
        <w:t>基金募集机构要设计风险测评问卷，并对普通投资者进行风险测评。</w:t>
      </w:r>
    </w:p>
    <w:p>
      <w:pPr>
        <w:ind w:firstLine="643" w:firstLineChars="200"/>
        <w:rPr>
          <w:rFonts w:ascii="仿宋" w:hAnsi="仿宋" w:eastAsia="仿宋"/>
          <w:sz w:val="32"/>
          <w:szCs w:val="32"/>
        </w:rPr>
      </w:pPr>
      <w:r>
        <w:rPr>
          <w:rFonts w:hint="eastAsia" w:ascii="仿宋" w:hAnsi="仿宋" w:eastAsia="仿宋"/>
          <w:b/>
          <w:sz w:val="32"/>
          <w:szCs w:val="32"/>
        </w:rPr>
        <w:t>第十九条</w:t>
      </w:r>
      <w:r>
        <w:rPr>
          <w:rFonts w:hint="eastAsia" w:ascii="仿宋" w:hAnsi="仿宋" w:eastAsia="仿宋"/>
          <w:sz w:val="32"/>
          <w:szCs w:val="32"/>
        </w:rPr>
        <w:t xml:space="preserve"> 投资者分为专业投资者和普通投资者。未对投资者进行分类的，要履行普通投资者适当性义务。</w:t>
      </w:r>
    </w:p>
    <w:p>
      <w:pPr>
        <w:ind w:firstLine="643" w:firstLineChars="200"/>
        <w:rPr>
          <w:rFonts w:ascii="仿宋" w:hAnsi="仿宋" w:eastAsia="仿宋"/>
          <w:sz w:val="32"/>
          <w:szCs w:val="32"/>
        </w:rPr>
      </w:pPr>
      <w:r>
        <w:rPr>
          <w:rFonts w:hint="eastAsia" w:ascii="仿宋" w:hAnsi="仿宋" w:eastAsia="仿宋"/>
          <w:b/>
          <w:sz w:val="32"/>
          <w:szCs w:val="32"/>
        </w:rPr>
        <w:t>第二十条</w:t>
      </w:r>
      <w:r>
        <w:rPr>
          <w:rFonts w:hint="eastAsia" w:ascii="仿宋" w:hAnsi="仿宋" w:eastAsia="仿宋"/>
          <w:sz w:val="32"/>
          <w:szCs w:val="32"/>
        </w:rPr>
        <w:t xml:space="preserve"> </w:t>
      </w:r>
      <w:r>
        <w:rPr>
          <w:rFonts w:ascii="仿宋" w:hAnsi="仿宋" w:eastAsia="仿宋"/>
          <w:sz w:val="32"/>
          <w:szCs w:val="32"/>
        </w:rPr>
        <w:t>了解</w:t>
      </w:r>
      <w:r>
        <w:rPr>
          <w:rFonts w:hint="eastAsia" w:ascii="仿宋" w:hAnsi="仿宋" w:eastAsia="仿宋"/>
          <w:sz w:val="32"/>
          <w:szCs w:val="32"/>
        </w:rPr>
        <w:t>投资者信息要包含但不限于《办法》第六条所规定的内容。</w:t>
      </w:r>
    </w:p>
    <w:p>
      <w:pPr>
        <w:jc w:val="left"/>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自然</w:t>
      </w:r>
      <w:r>
        <w:rPr>
          <w:rFonts w:ascii="仿宋" w:hAnsi="仿宋" w:eastAsia="仿宋"/>
          <w:sz w:val="32"/>
          <w:szCs w:val="32"/>
        </w:rPr>
        <w:t>人投资者还</w:t>
      </w:r>
      <w:r>
        <w:rPr>
          <w:rFonts w:hint="eastAsia" w:ascii="仿宋" w:hAnsi="仿宋" w:eastAsia="仿宋"/>
          <w:sz w:val="32"/>
          <w:szCs w:val="32"/>
        </w:rPr>
        <w:t>要</w:t>
      </w:r>
      <w:r>
        <w:rPr>
          <w:rFonts w:ascii="仿宋" w:hAnsi="仿宋" w:eastAsia="仿宋"/>
          <w:sz w:val="32"/>
          <w:szCs w:val="32"/>
        </w:rPr>
        <w:t>提供有效身份证件、出生日期、性别、国籍等信息。</w:t>
      </w:r>
    </w:p>
    <w:p>
      <w:pPr>
        <w:ind w:firstLine="640" w:firstLineChars="200"/>
        <w:rPr>
          <w:rFonts w:ascii="仿宋" w:hAnsi="仿宋" w:eastAsia="仿宋"/>
          <w:sz w:val="32"/>
          <w:szCs w:val="32"/>
        </w:rPr>
      </w:pPr>
      <w:r>
        <w:rPr>
          <w:rFonts w:hint="eastAsia" w:ascii="仿宋" w:hAnsi="仿宋" w:eastAsia="仿宋"/>
          <w:sz w:val="32"/>
          <w:szCs w:val="32"/>
        </w:rPr>
        <w:t>《办法》第八条第一款所述机构作为投资者的，还要向基金募集机构提供营业执照、开展金融相关业务资格证明、机构负责人或者法定代表人信息、经办人身份信息等资料。《办法》第八条第二款所述产品作为投资者的，要向基金募集机构提供产品成立、备案证明文件等资料及参照金融机构要求提交该产品管理人的机构信息。基金募集机构要告知投资者对其所填资料的真实性、有效性、完整性负责。</w:t>
      </w:r>
    </w:p>
    <w:p>
      <w:pPr>
        <w:ind w:firstLine="643" w:firstLineChars="200"/>
        <w:rPr>
          <w:rFonts w:ascii="仿宋" w:hAnsi="仿宋" w:eastAsia="仿宋"/>
          <w:sz w:val="32"/>
          <w:szCs w:val="32"/>
        </w:rPr>
      </w:pPr>
      <w:r>
        <w:rPr>
          <w:rFonts w:hint="eastAsia" w:ascii="仿宋" w:hAnsi="仿宋" w:eastAsia="仿宋"/>
          <w:b/>
          <w:sz w:val="32"/>
          <w:szCs w:val="32"/>
        </w:rPr>
        <w:t>第二十一条</w:t>
      </w:r>
      <w:r>
        <w:rPr>
          <w:rFonts w:hint="eastAsia" w:ascii="仿宋" w:hAnsi="仿宋" w:eastAsia="仿宋"/>
          <w:sz w:val="32"/>
          <w:szCs w:val="32"/>
        </w:rPr>
        <w:t xml:space="preserve"> 基金募集机构在为投资者开立账户时，要以纸质或者电子文档的形式，向投资者提供信息表，要求其填写相关信息，并遵循以下程序：</w:t>
      </w:r>
    </w:p>
    <w:p>
      <w:pPr>
        <w:ind w:firstLine="640" w:firstLineChars="200"/>
        <w:rPr>
          <w:rFonts w:ascii="仿宋" w:hAnsi="仿宋" w:eastAsia="仿宋"/>
          <w:sz w:val="32"/>
          <w:szCs w:val="32"/>
        </w:rPr>
      </w:pPr>
      <w:r>
        <w:rPr>
          <w:rFonts w:hint="eastAsia" w:ascii="仿宋" w:hAnsi="仿宋" w:eastAsia="仿宋"/>
          <w:sz w:val="32"/>
          <w:szCs w:val="32"/>
        </w:rPr>
        <w:t>（一）基金募集机构要执行对投资者的身份认证程序，核查投资者的投资资格，切实履行反洗钱等法律义务；</w:t>
      </w:r>
    </w:p>
    <w:p>
      <w:pPr>
        <w:ind w:firstLine="640" w:firstLineChars="200"/>
        <w:rPr>
          <w:rFonts w:ascii="仿宋" w:hAnsi="仿宋" w:eastAsia="仿宋"/>
          <w:sz w:val="32"/>
          <w:szCs w:val="32"/>
        </w:rPr>
      </w:pPr>
      <w:r>
        <w:rPr>
          <w:rFonts w:hint="eastAsia" w:ascii="仿宋" w:hAnsi="仿宋" w:eastAsia="仿宋"/>
          <w:sz w:val="32"/>
          <w:szCs w:val="32"/>
        </w:rPr>
        <w:t>（二）基金募集机构要根据投资者的主体不同，提供相应的投资者信息表；</w:t>
      </w:r>
    </w:p>
    <w:p>
      <w:pPr>
        <w:ind w:firstLine="640" w:firstLineChars="200"/>
        <w:rPr>
          <w:rFonts w:ascii="仿宋" w:hAnsi="仿宋" w:eastAsia="仿宋"/>
          <w:sz w:val="32"/>
          <w:szCs w:val="32"/>
        </w:rPr>
      </w:pPr>
      <w:r>
        <w:rPr>
          <w:rFonts w:hint="eastAsia" w:ascii="仿宋" w:hAnsi="仿宋" w:eastAsia="仿宋"/>
          <w:sz w:val="32"/>
          <w:szCs w:val="32"/>
        </w:rPr>
        <w:t>（三）基金募集机构核查自然人投资者本人或者代表金融机构及其产品的工作人员身份，并要求其如实填写投资者信息表；</w:t>
      </w:r>
    </w:p>
    <w:p>
      <w:pPr>
        <w:ind w:firstLine="640" w:firstLineChars="200"/>
        <w:rPr>
          <w:rFonts w:ascii="仿宋" w:hAnsi="仿宋" w:eastAsia="仿宋"/>
          <w:sz w:val="32"/>
          <w:szCs w:val="32"/>
        </w:rPr>
      </w:pPr>
      <w:r>
        <w:rPr>
          <w:rFonts w:hint="eastAsia" w:ascii="仿宋" w:hAnsi="仿宋" w:eastAsia="仿宋"/>
          <w:sz w:val="32"/>
          <w:szCs w:val="32"/>
        </w:rPr>
        <w:t>（四）基金募集机构要对投资者身份信息进行核查，并在核查工作结束之日起5个工作日内，将结果以及投资者类型告知投资者。</w:t>
      </w:r>
    </w:p>
    <w:p>
      <w:pPr>
        <w:ind w:firstLine="643" w:firstLineChars="200"/>
        <w:rPr>
          <w:rFonts w:ascii="仿宋" w:hAnsi="仿宋" w:eastAsia="仿宋"/>
          <w:sz w:val="32"/>
          <w:szCs w:val="32"/>
        </w:rPr>
      </w:pPr>
      <w:r>
        <w:rPr>
          <w:rFonts w:hint="eastAsia" w:ascii="仿宋" w:hAnsi="仿宋" w:eastAsia="仿宋"/>
          <w:b/>
          <w:sz w:val="32"/>
          <w:szCs w:val="32"/>
        </w:rPr>
        <w:t>第二十二条</w:t>
      </w:r>
      <w:r>
        <w:rPr>
          <w:rFonts w:hint="eastAsia" w:ascii="仿宋" w:hAnsi="仿宋" w:eastAsia="仿宋"/>
          <w:sz w:val="32"/>
          <w:szCs w:val="32"/>
        </w:rPr>
        <w:t xml:space="preserve"> 符合《办法》第八条要求的投资者为专业投资者。</w:t>
      </w:r>
    </w:p>
    <w:p>
      <w:pPr>
        <w:ind w:firstLine="643" w:firstLineChars="200"/>
        <w:rPr>
          <w:rFonts w:ascii="仿宋" w:hAnsi="仿宋" w:eastAsia="仿宋"/>
          <w:sz w:val="32"/>
          <w:szCs w:val="32"/>
        </w:rPr>
      </w:pPr>
      <w:r>
        <w:rPr>
          <w:rFonts w:hint="eastAsia" w:ascii="仿宋" w:hAnsi="仿宋" w:eastAsia="仿宋"/>
          <w:b/>
          <w:sz w:val="32"/>
          <w:szCs w:val="32"/>
        </w:rPr>
        <w:t>第二十三条</w:t>
      </w:r>
      <w:r>
        <w:rPr>
          <w:rFonts w:hint="eastAsia" w:ascii="仿宋" w:hAnsi="仿宋" w:eastAsia="仿宋"/>
          <w:sz w:val="32"/>
          <w:szCs w:val="32"/>
        </w:rPr>
        <w:t xml:space="preserve"> 基金募集机构要根据《办法》第八条规定，结合投资者信息表内容，对专业投资者资格进行认定。</w:t>
      </w:r>
    </w:p>
    <w:p>
      <w:pPr>
        <w:ind w:firstLine="643" w:firstLineChars="200"/>
        <w:rPr>
          <w:rFonts w:ascii="仿宋" w:hAnsi="仿宋" w:eastAsia="仿宋"/>
          <w:sz w:val="32"/>
          <w:szCs w:val="32"/>
        </w:rPr>
      </w:pPr>
      <w:r>
        <w:rPr>
          <w:rFonts w:hint="eastAsia" w:ascii="仿宋" w:hAnsi="仿宋" w:eastAsia="仿宋"/>
          <w:b/>
          <w:sz w:val="32"/>
          <w:szCs w:val="32"/>
        </w:rPr>
        <w:t>第二十四条</w:t>
      </w:r>
      <w:r>
        <w:rPr>
          <w:rFonts w:hint="eastAsia" w:ascii="仿宋" w:hAnsi="仿宋" w:eastAsia="仿宋"/>
          <w:sz w:val="32"/>
          <w:szCs w:val="32"/>
        </w:rPr>
        <w:t xml:space="preserve"> 基金募集机构可以根据专业投资者的业务资格、投资实力、投资经历等因素，对专业投资者进行细化分类和管理。</w:t>
      </w:r>
    </w:p>
    <w:p>
      <w:pPr>
        <w:ind w:firstLine="643" w:firstLineChars="200"/>
        <w:rPr>
          <w:rFonts w:ascii="仿宋" w:hAnsi="仿宋" w:eastAsia="仿宋"/>
          <w:sz w:val="32"/>
          <w:szCs w:val="32"/>
        </w:rPr>
      </w:pPr>
      <w:r>
        <w:rPr>
          <w:rFonts w:hint="eastAsia" w:ascii="仿宋" w:hAnsi="仿宋" w:eastAsia="仿宋"/>
          <w:b/>
          <w:sz w:val="32"/>
          <w:szCs w:val="32"/>
        </w:rPr>
        <w:t>第二十五条</w:t>
      </w:r>
      <w:r>
        <w:rPr>
          <w:rFonts w:hint="eastAsia" w:ascii="仿宋" w:hAnsi="仿宋" w:eastAsia="仿宋"/>
          <w:sz w:val="32"/>
          <w:szCs w:val="32"/>
        </w:rPr>
        <w:t xml:space="preserve"> 基金募集机构对专业投资者进行细化分类的，要向投资者提供风险测评问卷，对专业投资者的投资知识、投资经验、风险偏好进行评估，并得出相对应的风险等级。</w:t>
      </w:r>
    </w:p>
    <w:p>
      <w:pPr>
        <w:ind w:firstLine="643" w:firstLineChars="200"/>
        <w:rPr>
          <w:rFonts w:ascii="仿宋" w:hAnsi="仿宋" w:eastAsia="仿宋"/>
          <w:sz w:val="32"/>
          <w:szCs w:val="32"/>
        </w:rPr>
      </w:pPr>
      <w:r>
        <w:rPr>
          <w:rFonts w:hint="eastAsia" w:ascii="仿宋" w:hAnsi="仿宋" w:eastAsia="仿宋"/>
          <w:b/>
          <w:sz w:val="32"/>
          <w:szCs w:val="32"/>
        </w:rPr>
        <w:t>第二十六条</w:t>
      </w:r>
      <w:r>
        <w:rPr>
          <w:rFonts w:hint="eastAsia" w:ascii="仿宋" w:hAnsi="仿宋" w:eastAsia="仿宋"/>
          <w:sz w:val="32"/>
          <w:szCs w:val="32"/>
        </w:rPr>
        <w:t xml:space="preserve"> 专业投资者之外的，符合法律、法规要求，可以从事基金交易活动的投资者为普通投资者。</w:t>
      </w:r>
    </w:p>
    <w:p>
      <w:pPr>
        <w:ind w:firstLine="630"/>
        <w:rPr>
          <w:rFonts w:ascii="仿宋" w:hAnsi="仿宋" w:eastAsia="仿宋"/>
          <w:sz w:val="32"/>
          <w:szCs w:val="32"/>
        </w:rPr>
      </w:pPr>
      <w:r>
        <w:rPr>
          <w:rFonts w:hint="eastAsia" w:ascii="仿宋" w:hAnsi="仿宋" w:eastAsia="仿宋"/>
          <w:sz w:val="32"/>
          <w:szCs w:val="32"/>
        </w:rPr>
        <w:t>基金募集机构要按照风险承受能力，将普通投资者由低到高至少分为C1（含风险承受能力最低类别）、C2、C3、C4、C5五种类型。</w:t>
      </w:r>
    </w:p>
    <w:p>
      <w:pPr>
        <w:ind w:firstLine="643" w:firstLineChars="200"/>
        <w:rPr>
          <w:rFonts w:ascii="仿宋" w:hAnsi="仿宋" w:eastAsia="仿宋"/>
          <w:sz w:val="32"/>
          <w:szCs w:val="32"/>
        </w:rPr>
      </w:pPr>
      <w:r>
        <w:rPr>
          <w:rFonts w:hint="eastAsia" w:ascii="仿宋" w:hAnsi="仿宋" w:eastAsia="仿宋"/>
          <w:b/>
          <w:sz w:val="32"/>
          <w:szCs w:val="32"/>
        </w:rPr>
        <w:t>第二十七条</w:t>
      </w:r>
      <w:r>
        <w:rPr>
          <w:rFonts w:hint="eastAsia" w:ascii="仿宋" w:hAnsi="仿宋" w:eastAsia="仿宋"/>
          <w:sz w:val="32"/>
          <w:szCs w:val="32"/>
        </w:rPr>
        <w:t xml:space="preserve"> 基金募集机构向普通投资者以纸质或者电子文档形式提供风险测评问卷，对其风险承受能力进行测试，并遵循以下程序：</w:t>
      </w:r>
    </w:p>
    <w:p>
      <w:pPr>
        <w:ind w:firstLine="640" w:firstLineChars="200"/>
        <w:rPr>
          <w:rFonts w:ascii="仿宋" w:hAnsi="仿宋" w:eastAsia="仿宋"/>
          <w:sz w:val="32"/>
          <w:szCs w:val="32"/>
        </w:rPr>
      </w:pPr>
      <w:r>
        <w:rPr>
          <w:rFonts w:hint="eastAsia" w:ascii="仿宋" w:hAnsi="仿宋" w:eastAsia="仿宋"/>
          <w:sz w:val="32"/>
          <w:szCs w:val="32"/>
        </w:rPr>
        <w:t>（一）基金募集机构要核查参加风险测评的投资者或机构经办人员的身份信息；</w:t>
      </w:r>
    </w:p>
    <w:p>
      <w:pPr>
        <w:ind w:firstLine="640" w:firstLineChars="200"/>
        <w:rPr>
          <w:rFonts w:ascii="仿宋" w:hAnsi="仿宋" w:eastAsia="仿宋"/>
          <w:sz w:val="32"/>
          <w:szCs w:val="32"/>
        </w:rPr>
      </w:pPr>
      <w:r>
        <w:rPr>
          <w:rFonts w:hint="eastAsia" w:ascii="仿宋" w:hAnsi="仿宋" w:eastAsia="仿宋"/>
          <w:sz w:val="32"/>
          <w:szCs w:val="32"/>
        </w:rPr>
        <w:t>（二）基金募集机构以及工作人员在测试过程中，不得有提示、暗示、诱导、误导等行为对测试人员进行干扰，影响测试结果；</w:t>
      </w:r>
    </w:p>
    <w:p>
      <w:pPr>
        <w:ind w:firstLine="640" w:firstLineChars="200"/>
        <w:rPr>
          <w:rFonts w:ascii="仿宋" w:hAnsi="仿宋" w:eastAsia="仿宋"/>
          <w:sz w:val="32"/>
          <w:szCs w:val="32"/>
        </w:rPr>
      </w:pPr>
      <w:r>
        <w:rPr>
          <w:rFonts w:hint="eastAsia" w:ascii="仿宋" w:hAnsi="仿宋" w:eastAsia="仿宋"/>
          <w:sz w:val="32"/>
          <w:szCs w:val="32"/>
        </w:rPr>
        <w:t>（三）风险测评问卷要在填写完毕后5个工作日内，得出相应结果。</w:t>
      </w:r>
    </w:p>
    <w:p>
      <w:pPr>
        <w:ind w:firstLine="643" w:firstLineChars="200"/>
        <w:rPr>
          <w:rFonts w:ascii="仿宋" w:hAnsi="仿宋" w:eastAsia="仿宋"/>
          <w:sz w:val="32"/>
          <w:szCs w:val="32"/>
        </w:rPr>
      </w:pPr>
      <w:r>
        <w:rPr>
          <w:rFonts w:hint="eastAsia" w:ascii="仿宋" w:hAnsi="仿宋" w:eastAsia="仿宋"/>
          <w:b/>
          <w:sz w:val="32"/>
          <w:szCs w:val="32"/>
        </w:rPr>
        <w:t>第二十八条</w:t>
      </w:r>
      <w:r>
        <w:rPr>
          <w:rFonts w:hint="eastAsia" w:ascii="仿宋" w:hAnsi="仿宋" w:eastAsia="仿宋"/>
          <w:sz w:val="32"/>
          <w:szCs w:val="32"/>
        </w:rPr>
        <w:t xml:space="preserve"> 基金募集机构要根据投资者信息表、风险测评问卷以及其它相关材料，对普通投资者风险等级进行综合评估，并在评估工作结束之日起5个工作日内，告知投资者风险等级评估结果。</w:t>
      </w:r>
    </w:p>
    <w:p>
      <w:pPr>
        <w:ind w:firstLine="643" w:firstLineChars="200"/>
        <w:rPr>
          <w:rFonts w:ascii="仿宋" w:hAnsi="仿宋" w:eastAsia="仿宋"/>
          <w:sz w:val="32"/>
          <w:szCs w:val="32"/>
        </w:rPr>
      </w:pPr>
      <w:r>
        <w:rPr>
          <w:rFonts w:hint="eastAsia" w:ascii="仿宋" w:hAnsi="仿宋" w:eastAsia="仿宋"/>
          <w:b/>
          <w:sz w:val="32"/>
          <w:szCs w:val="32"/>
        </w:rPr>
        <w:t>第二十九条</w:t>
      </w:r>
      <w:r>
        <w:rPr>
          <w:rFonts w:hint="eastAsia" w:ascii="仿宋" w:hAnsi="仿宋" w:eastAsia="仿宋"/>
          <w:sz w:val="32"/>
          <w:szCs w:val="32"/>
        </w:rPr>
        <w:t xml:space="preserve"> 基金募集机构可以将C1中符合下列情形之一的自然人，作为风险承受能力最低类别投资者： </w:t>
      </w:r>
    </w:p>
    <w:p>
      <w:pPr>
        <w:ind w:firstLine="640" w:firstLineChars="200"/>
        <w:rPr>
          <w:rFonts w:ascii="仿宋" w:hAnsi="仿宋" w:eastAsia="仿宋"/>
          <w:sz w:val="32"/>
          <w:szCs w:val="32"/>
        </w:rPr>
      </w:pPr>
      <w:r>
        <w:rPr>
          <w:rFonts w:hint="eastAsia" w:ascii="仿宋" w:hAnsi="仿宋" w:eastAsia="仿宋"/>
          <w:sz w:val="32"/>
          <w:szCs w:val="32"/>
        </w:rPr>
        <w:t>（一）不具有完全民事行为能力；</w:t>
      </w:r>
    </w:p>
    <w:p>
      <w:pPr>
        <w:ind w:firstLine="640" w:firstLineChars="200"/>
        <w:rPr>
          <w:rFonts w:ascii="仿宋" w:hAnsi="仿宋" w:eastAsia="仿宋"/>
          <w:sz w:val="32"/>
          <w:szCs w:val="32"/>
        </w:rPr>
      </w:pPr>
      <w:r>
        <w:rPr>
          <w:rFonts w:hint="eastAsia" w:ascii="仿宋" w:hAnsi="仿宋" w:eastAsia="仿宋"/>
          <w:sz w:val="32"/>
          <w:szCs w:val="32"/>
        </w:rPr>
        <w:t>（二）没有风险容忍度或者不愿承受任何投资损失；</w:t>
      </w:r>
    </w:p>
    <w:p>
      <w:pPr>
        <w:ind w:firstLine="640" w:firstLineChars="200"/>
        <w:rPr>
          <w:rFonts w:ascii="仿宋" w:hAnsi="仿宋" w:eastAsia="仿宋"/>
          <w:sz w:val="32"/>
          <w:szCs w:val="32"/>
        </w:rPr>
      </w:pPr>
      <w:r>
        <w:rPr>
          <w:rFonts w:hint="eastAsia" w:ascii="仿宋" w:hAnsi="仿宋" w:eastAsia="仿宋"/>
          <w:sz w:val="32"/>
          <w:szCs w:val="32"/>
        </w:rPr>
        <w:t>（三）法律、行政法规规定的其他情形。</w:t>
      </w:r>
    </w:p>
    <w:p>
      <w:pPr>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第三十条</w:t>
      </w:r>
      <w:r>
        <w:rPr>
          <w:rFonts w:hint="eastAsia" w:ascii="仿宋" w:hAnsi="仿宋" w:eastAsia="仿宋"/>
          <w:sz w:val="32"/>
          <w:szCs w:val="32"/>
        </w:rPr>
        <w:t xml:space="preserve"> 符合《办法》第十一条规定的专业投资者、普通投资者可以进行转化。</w:t>
      </w:r>
    </w:p>
    <w:p>
      <w:pPr>
        <w:ind w:firstLine="630"/>
        <w:rPr>
          <w:rFonts w:ascii="仿宋" w:hAnsi="仿宋" w:eastAsia="仿宋"/>
          <w:sz w:val="32"/>
          <w:szCs w:val="32"/>
        </w:rPr>
      </w:pPr>
      <w:r>
        <w:rPr>
          <w:rFonts w:hint="eastAsia" w:ascii="仿宋" w:hAnsi="仿宋" w:eastAsia="仿宋"/>
          <w:sz w:val="32"/>
          <w:szCs w:val="32"/>
        </w:rPr>
        <w:t>投资者转化效力范围仅适用于所告知、申请的基金募集机构。其它基金募集机构不得以此作为参考依据，将投资者自行转化。</w:t>
      </w:r>
    </w:p>
    <w:p>
      <w:pPr>
        <w:ind w:firstLine="643" w:firstLineChars="200"/>
        <w:rPr>
          <w:rFonts w:ascii="仿宋" w:hAnsi="仿宋" w:eastAsia="仿宋"/>
          <w:sz w:val="32"/>
          <w:szCs w:val="32"/>
        </w:rPr>
      </w:pPr>
      <w:r>
        <w:rPr>
          <w:rFonts w:hint="eastAsia" w:ascii="仿宋" w:hAnsi="仿宋" w:eastAsia="仿宋"/>
          <w:b/>
          <w:sz w:val="32"/>
          <w:szCs w:val="32"/>
        </w:rPr>
        <w:t>第三十一条</w:t>
      </w:r>
      <w:r>
        <w:rPr>
          <w:rFonts w:hint="eastAsia" w:ascii="仿宋" w:hAnsi="仿宋" w:eastAsia="仿宋"/>
          <w:sz w:val="32"/>
          <w:szCs w:val="32"/>
        </w:rPr>
        <w:t xml:space="preserve"> 专业投资者转化为普通投资者的，要遵循以下程序：</w:t>
      </w:r>
    </w:p>
    <w:p>
      <w:pPr>
        <w:ind w:firstLine="640" w:firstLineChars="200"/>
        <w:rPr>
          <w:rFonts w:ascii="仿宋" w:hAnsi="仿宋" w:eastAsia="仿宋"/>
          <w:sz w:val="32"/>
          <w:szCs w:val="32"/>
        </w:rPr>
      </w:pPr>
      <w:r>
        <w:rPr>
          <w:rFonts w:hint="eastAsia" w:ascii="仿宋" w:hAnsi="仿宋" w:eastAsia="仿宋"/>
          <w:sz w:val="32"/>
          <w:szCs w:val="32"/>
        </w:rPr>
        <w:t>（一）符合转化条件的专业投资者，通过纸质或者电子文档形式告知基金募集机构其转化为普通投资者的决定；</w:t>
      </w:r>
    </w:p>
    <w:p>
      <w:pPr>
        <w:ind w:firstLine="640" w:firstLineChars="200"/>
        <w:rPr>
          <w:rFonts w:ascii="仿宋" w:hAnsi="仿宋" w:eastAsia="仿宋"/>
          <w:sz w:val="32"/>
          <w:szCs w:val="32"/>
        </w:rPr>
      </w:pPr>
      <w:r>
        <w:rPr>
          <w:rFonts w:hint="eastAsia" w:ascii="仿宋" w:hAnsi="仿宋" w:eastAsia="仿宋"/>
          <w:sz w:val="32"/>
          <w:szCs w:val="32"/>
        </w:rPr>
        <w:t>（二）基金募集机构要在收到投资者转化决定5个工作日内，对投资者的转化资格进行核查；</w:t>
      </w:r>
    </w:p>
    <w:p>
      <w:pPr>
        <w:ind w:firstLine="640" w:firstLineChars="200"/>
        <w:rPr>
          <w:rFonts w:ascii="仿宋" w:hAnsi="仿宋" w:eastAsia="仿宋"/>
          <w:sz w:val="32"/>
          <w:szCs w:val="32"/>
        </w:rPr>
      </w:pPr>
      <w:r>
        <w:rPr>
          <w:rFonts w:hint="eastAsia" w:ascii="仿宋" w:hAnsi="仿宋" w:eastAsia="仿宋"/>
          <w:sz w:val="32"/>
          <w:szCs w:val="32"/>
        </w:rPr>
        <w:t>（三）基金募集机构要在核查工作结束之日起5个工作日内，以纸质或者电子文档形式，告知投资者核查结果。</w:t>
      </w:r>
    </w:p>
    <w:p>
      <w:pPr>
        <w:ind w:firstLine="643" w:firstLineChars="200"/>
        <w:rPr>
          <w:rFonts w:ascii="仿宋" w:hAnsi="仿宋" w:eastAsia="仿宋"/>
          <w:sz w:val="32"/>
          <w:szCs w:val="32"/>
        </w:rPr>
      </w:pPr>
      <w:r>
        <w:rPr>
          <w:rFonts w:hint="eastAsia" w:ascii="仿宋" w:hAnsi="仿宋" w:eastAsia="仿宋"/>
          <w:b/>
          <w:sz w:val="32"/>
          <w:szCs w:val="32"/>
        </w:rPr>
        <w:t>第三十二条</w:t>
      </w:r>
      <w:r>
        <w:rPr>
          <w:rFonts w:hint="eastAsia" w:ascii="仿宋" w:hAnsi="仿宋" w:eastAsia="仿宋"/>
          <w:sz w:val="32"/>
          <w:szCs w:val="32"/>
        </w:rPr>
        <w:t xml:space="preserve"> 普通投资者转化为专业投资者的，要遵循以下程序：</w:t>
      </w:r>
    </w:p>
    <w:p>
      <w:pPr>
        <w:ind w:firstLine="640" w:firstLineChars="200"/>
        <w:rPr>
          <w:rFonts w:ascii="仿宋" w:hAnsi="仿宋" w:eastAsia="仿宋"/>
          <w:sz w:val="32"/>
          <w:szCs w:val="32"/>
        </w:rPr>
      </w:pPr>
      <w:r>
        <w:rPr>
          <w:rFonts w:hint="eastAsia" w:ascii="仿宋" w:hAnsi="仿宋" w:eastAsia="仿宋"/>
          <w:sz w:val="32"/>
          <w:szCs w:val="32"/>
        </w:rPr>
        <w:t>（一）符合转化条件的普通投资者，要通过纸质或者电子文档形式向基金募集机构提出转化申请，同时还要向基金募集机构做出了解相应风险并自愿承担相应不利后果的意思表示；</w:t>
      </w:r>
    </w:p>
    <w:p>
      <w:pPr>
        <w:ind w:firstLine="640" w:firstLineChars="200"/>
        <w:rPr>
          <w:rFonts w:ascii="仿宋" w:hAnsi="仿宋" w:eastAsia="仿宋"/>
          <w:sz w:val="32"/>
          <w:szCs w:val="32"/>
        </w:rPr>
      </w:pPr>
      <w:r>
        <w:rPr>
          <w:rFonts w:hint="eastAsia" w:ascii="仿宋" w:hAnsi="仿宋" w:eastAsia="仿宋"/>
          <w:sz w:val="32"/>
          <w:szCs w:val="32"/>
        </w:rPr>
        <w:t>（二）基金募集机构要在收到投资者转化申请之日起5个工作日内，对投资者的转化资格进行核查；</w:t>
      </w:r>
    </w:p>
    <w:p>
      <w:pPr>
        <w:ind w:firstLine="640" w:firstLineChars="200"/>
        <w:rPr>
          <w:rFonts w:ascii="仿宋" w:hAnsi="仿宋" w:eastAsia="仿宋"/>
          <w:sz w:val="32"/>
          <w:szCs w:val="32"/>
        </w:rPr>
      </w:pPr>
      <w:r>
        <w:rPr>
          <w:rFonts w:hint="eastAsia" w:ascii="仿宋" w:hAnsi="仿宋" w:eastAsia="仿宋"/>
          <w:sz w:val="32"/>
          <w:szCs w:val="32"/>
        </w:rPr>
        <w:t>（三）对于符合转化条件的，基金募集机构要在5个工作日内，通知投资者以纸质或者电子文档形式补充提交相关信息、参加投资知识或者模拟交易等测试；</w:t>
      </w:r>
    </w:p>
    <w:p>
      <w:pPr>
        <w:ind w:firstLine="640" w:firstLineChars="200"/>
        <w:rPr>
          <w:rFonts w:ascii="仿宋" w:hAnsi="仿宋" w:eastAsia="仿宋"/>
          <w:sz w:val="32"/>
          <w:szCs w:val="32"/>
        </w:rPr>
      </w:pPr>
      <w:r>
        <w:rPr>
          <w:rFonts w:hint="eastAsia" w:ascii="仿宋" w:hAnsi="仿宋" w:eastAsia="仿宋"/>
          <w:sz w:val="32"/>
          <w:szCs w:val="32"/>
        </w:rPr>
        <w:t>（四）基金募集机构要根据以上情况，结合投资者的风险承受能力、投资知识、投资经验、投资偏好等要素，对申请者进行谨慎评估，并以纸质或者电子文档形式，告知投资者是否同意其转化的决定以及理由。</w:t>
      </w:r>
    </w:p>
    <w:p>
      <w:pPr>
        <w:ind w:firstLine="630"/>
        <w:rPr>
          <w:rFonts w:ascii="仿宋" w:hAnsi="仿宋" w:eastAsia="仿宋"/>
          <w:sz w:val="32"/>
          <w:szCs w:val="32"/>
        </w:rPr>
      </w:pPr>
      <w:r>
        <w:rPr>
          <w:rFonts w:hint="eastAsia" w:ascii="仿宋" w:hAnsi="仿宋" w:eastAsia="仿宋"/>
          <w:b/>
          <w:sz w:val="32"/>
          <w:szCs w:val="32"/>
        </w:rPr>
        <w:t>第三十三条</w:t>
      </w:r>
      <w:r>
        <w:rPr>
          <w:rFonts w:hint="eastAsia" w:ascii="仿宋" w:hAnsi="仿宋" w:eastAsia="仿宋"/>
          <w:sz w:val="32"/>
          <w:szCs w:val="32"/>
        </w:rPr>
        <w:t xml:space="preserve"> 基金募集机构要建立投资者评估数据库，为投资者建立信息档案，并对投资者风险等级进行动态管理。基金募集机构要充分使用已了解信息和已有评估结果，避免投资者信息重复采集，提高评估效率。</w:t>
      </w:r>
    </w:p>
    <w:p>
      <w:pPr>
        <w:ind w:firstLine="643" w:firstLineChars="200"/>
        <w:rPr>
          <w:rFonts w:ascii="仿宋" w:hAnsi="仿宋" w:eastAsia="仿宋"/>
          <w:sz w:val="32"/>
          <w:szCs w:val="32"/>
        </w:rPr>
      </w:pPr>
      <w:r>
        <w:rPr>
          <w:rFonts w:hint="eastAsia" w:ascii="仿宋" w:hAnsi="仿宋" w:eastAsia="仿宋"/>
          <w:b/>
          <w:sz w:val="32"/>
          <w:szCs w:val="32"/>
        </w:rPr>
        <w:t>第三十四条</w:t>
      </w:r>
      <w:r>
        <w:rPr>
          <w:rFonts w:hint="eastAsia" w:ascii="仿宋" w:hAnsi="仿宋" w:eastAsia="仿宋"/>
          <w:sz w:val="32"/>
          <w:szCs w:val="32"/>
        </w:rPr>
        <w:t xml:space="preserve"> 投资者评估数据库要包含但不限于以下内容：</w:t>
      </w:r>
    </w:p>
    <w:p>
      <w:pPr>
        <w:pStyle w:val="12"/>
        <w:widowControl/>
        <w:numPr>
          <w:ilvl w:val="0"/>
          <w:numId w:val="1"/>
        </w:numPr>
        <w:spacing w:line="240" w:lineRule="auto"/>
        <w:ind w:firstLineChars="0"/>
        <w:jc w:val="left"/>
        <w:rPr>
          <w:rFonts w:ascii="仿宋" w:hAnsi="仿宋"/>
          <w:szCs w:val="32"/>
        </w:rPr>
      </w:pPr>
      <w:r>
        <w:rPr>
          <w:rFonts w:ascii="仿宋" w:hAnsi="仿宋"/>
          <w:szCs w:val="32"/>
        </w:rPr>
        <w:t>投资者填写信息表及历次变动的内容；</w:t>
      </w:r>
    </w:p>
    <w:p>
      <w:pPr>
        <w:pStyle w:val="12"/>
        <w:widowControl/>
        <w:numPr>
          <w:ilvl w:val="0"/>
          <w:numId w:val="1"/>
        </w:numPr>
        <w:spacing w:line="240" w:lineRule="auto"/>
        <w:ind w:firstLineChars="0"/>
        <w:jc w:val="left"/>
        <w:rPr>
          <w:rFonts w:ascii="仿宋" w:hAnsi="仿宋"/>
          <w:szCs w:val="32"/>
        </w:rPr>
      </w:pPr>
      <w:r>
        <w:rPr>
          <w:rFonts w:hint="eastAsia" w:ascii="仿宋" w:hAnsi="仿宋"/>
          <w:szCs w:val="32"/>
        </w:rPr>
        <w:t>普通投资者过往风险测评结果；</w:t>
      </w:r>
    </w:p>
    <w:p>
      <w:pPr>
        <w:pStyle w:val="12"/>
        <w:widowControl/>
        <w:numPr>
          <w:ilvl w:val="0"/>
          <w:numId w:val="1"/>
        </w:numPr>
        <w:spacing w:line="240" w:lineRule="auto"/>
        <w:ind w:firstLineChars="0"/>
        <w:jc w:val="left"/>
        <w:rPr>
          <w:rFonts w:ascii="仿宋" w:hAnsi="仿宋"/>
          <w:szCs w:val="32"/>
        </w:rPr>
      </w:pPr>
      <w:r>
        <w:rPr>
          <w:rFonts w:hint="eastAsia" w:ascii="仿宋" w:hAnsi="仿宋"/>
          <w:szCs w:val="32"/>
        </w:rPr>
        <w:t>投资者风险承受能力及对应风险等级变动情况；</w:t>
      </w:r>
    </w:p>
    <w:p>
      <w:pPr>
        <w:pStyle w:val="12"/>
        <w:ind w:left="320" w:firstLine="320" w:firstLineChars="100"/>
        <w:rPr>
          <w:rFonts w:ascii="仿宋" w:hAnsi="仿宋"/>
          <w:szCs w:val="32"/>
        </w:rPr>
      </w:pPr>
      <w:r>
        <w:rPr>
          <w:rFonts w:hint="eastAsia" w:ascii="仿宋" w:hAnsi="仿宋"/>
          <w:szCs w:val="32"/>
        </w:rPr>
        <w:t>（四）投资者历次申请转化为专业投资者或普通投资者情况及审核结果；</w:t>
      </w:r>
    </w:p>
    <w:p>
      <w:pPr>
        <w:ind w:firstLine="640" w:firstLineChars="200"/>
        <w:rPr>
          <w:rFonts w:ascii="仿宋" w:hAnsi="仿宋" w:eastAsia="仿宋"/>
          <w:sz w:val="32"/>
          <w:szCs w:val="32"/>
        </w:rPr>
      </w:pPr>
      <w:r>
        <w:rPr>
          <w:rFonts w:hint="eastAsia" w:ascii="仿宋" w:hAnsi="仿宋" w:eastAsia="仿宋"/>
          <w:sz w:val="32"/>
          <w:szCs w:val="32"/>
        </w:rPr>
        <w:t>（五）</w:t>
      </w:r>
      <w:r>
        <w:rPr>
          <w:rFonts w:ascii="仿宋" w:hAnsi="仿宋" w:eastAsia="仿宋"/>
          <w:sz w:val="32"/>
          <w:szCs w:val="32"/>
        </w:rPr>
        <w:t>基金募集机构风险评估标准、程序等内容信息及调整、修改情况；</w:t>
      </w:r>
    </w:p>
    <w:p>
      <w:pPr>
        <w:ind w:firstLine="640" w:firstLineChars="200"/>
        <w:rPr>
          <w:rFonts w:ascii="仿宋" w:hAnsi="仿宋" w:eastAsia="仿宋"/>
          <w:sz w:val="32"/>
          <w:szCs w:val="32"/>
        </w:rPr>
      </w:pPr>
      <w:r>
        <w:rPr>
          <w:rFonts w:hint="eastAsia" w:ascii="仿宋" w:hAnsi="仿宋" w:eastAsia="仿宋"/>
          <w:sz w:val="32"/>
          <w:szCs w:val="32"/>
        </w:rPr>
        <w:t>（六）协会及基金募集机构认为必要的其它信息。</w:t>
      </w:r>
    </w:p>
    <w:p>
      <w:pPr>
        <w:ind w:firstLine="643" w:firstLineChars="200"/>
        <w:rPr>
          <w:rFonts w:ascii="仿宋" w:hAnsi="仿宋" w:eastAsia="仿宋"/>
          <w:sz w:val="32"/>
          <w:szCs w:val="32"/>
        </w:rPr>
      </w:pPr>
      <w:r>
        <w:rPr>
          <w:rFonts w:hint="eastAsia" w:ascii="仿宋" w:hAnsi="仿宋" w:eastAsia="仿宋"/>
          <w:b/>
          <w:sz w:val="32"/>
          <w:szCs w:val="32"/>
        </w:rPr>
        <w:t>第三十五条</w:t>
      </w:r>
      <w:r>
        <w:rPr>
          <w:rFonts w:hint="eastAsia" w:ascii="仿宋" w:hAnsi="仿宋" w:eastAsia="仿宋"/>
          <w:sz w:val="32"/>
          <w:szCs w:val="32"/>
        </w:rPr>
        <w:t xml:space="preserve"> 基金募集机构要告知投资者，其重要信息发生变更时要及时告知基金募集机构。基金募集机构还要通过明确的公开方式，提醒投资者及时告知重大信息变更事项。</w:t>
      </w:r>
    </w:p>
    <w:p>
      <w:pPr>
        <w:spacing w:line="360" w:lineRule="auto"/>
        <w:ind w:firstLine="640" w:firstLineChars="200"/>
        <w:rPr>
          <w:rFonts w:ascii="仿宋" w:hAnsi="仿宋" w:eastAsia="仿宋"/>
          <w:sz w:val="32"/>
          <w:szCs w:val="32"/>
        </w:rPr>
      </w:pPr>
    </w:p>
    <w:p>
      <w:pPr>
        <w:spacing w:line="360" w:lineRule="auto"/>
        <w:jc w:val="center"/>
        <w:rPr>
          <w:rFonts w:ascii="仿宋" w:hAnsi="仿宋" w:eastAsia="仿宋"/>
          <w:b/>
          <w:sz w:val="32"/>
          <w:szCs w:val="32"/>
        </w:rPr>
      </w:pPr>
      <w:r>
        <w:rPr>
          <w:rFonts w:hint="eastAsia" w:ascii="仿宋" w:hAnsi="仿宋" w:eastAsia="仿宋"/>
          <w:b/>
          <w:sz w:val="32"/>
          <w:szCs w:val="32"/>
        </w:rPr>
        <w:t>第四章 基金产品或者服务风险等级划分</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第三十六条</w:t>
      </w:r>
      <w:r>
        <w:rPr>
          <w:rFonts w:hint="eastAsia" w:ascii="仿宋" w:hAnsi="仿宋" w:eastAsia="仿宋"/>
          <w:sz w:val="32"/>
          <w:szCs w:val="32"/>
        </w:rPr>
        <w:t xml:space="preserve"> 基金募集机构对基金产品或者服务的风险等级划分，可以由基金募集机构完成，也可以委托第三方机构提供。</w:t>
      </w:r>
    </w:p>
    <w:p>
      <w:pPr>
        <w:spacing w:line="360" w:lineRule="auto"/>
        <w:ind w:firstLine="645"/>
        <w:rPr>
          <w:rFonts w:ascii="仿宋" w:hAnsi="仿宋" w:eastAsia="仿宋"/>
          <w:sz w:val="32"/>
          <w:szCs w:val="32"/>
        </w:rPr>
      </w:pPr>
      <w:r>
        <w:rPr>
          <w:rFonts w:hint="eastAsia" w:ascii="仿宋" w:hAnsi="仿宋" w:eastAsia="仿宋"/>
          <w:sz w:val="32"/>
          <w:szCs w:val="32"/>
        </w:rPr>
        <w:t>委托第三方机构提供基金产品或者服务风险等级划分的，基金募集机构应当要求其提供基金产品或者服务风险等级划分方法及其说明。</w:t>
      </w:r>
    </w:p>
    <w:p>
      <w:pPr>
        <w:spacing w:line="360" w:lineRule="auto"/>
        <w:ind w:firstLine="645"/>
        <w:rPr>
          <w:rFonts w:ascii="仿宋" w:hAnsi="仿宋" w:eastAsia="仿宋"/>
          <w:sz w:val="32"/>
          <w:szCs w:val="32"/>
        </w:rPr>
      </w:pPr>
      <w:r>
        <w:rPr>
          <w:rFonts w:hint="eastAsia" w:ascii="仿宋" w:hAnsi="仿宋" w:eastAsia="仿宋"/>
          <w:sz w:val="32"/>
          <w:szCs w:val="32"/>
        </w:rPr>
        <w:t>基金募集机构落实适当性义务不因委托第三方而免除。</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第三十七条</w:t>
      </w:r>
      <w:r>
        <w:rPr>
          <w:rFonts w:hint="eastAsia" w:ascii="仿宋" w:hAnsi="仿宋" w:eastAsia="仿宋"/>
          <w:sz w:val="32"/>
          <w:szCs w:val="32"/>
        </w:rPr>
        <w:t xml:space="preserve"> 基金募集机构所使用的基金产品或者服务风险等级划分方法及其说明，通过适当途径向投资者告知。</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第三十八条</w:t>
      </w:r>
      <w:r>
        <w:rPr>
          <w:rFonts w:hint="eastAsia" w:ascii="仿宋" w:hAnsi="仿宋" w:eastAsia="仿宋"/>
          <w:sz w:val="32"/>
          <w:szCs w:val="32"/>
        </w:rPr>
        <w:t xml:space="preserve"> 基金产品或者服务的风险等级要按照风险由低到高顺序，至少划分为：R1、R2、R3、R4、R5五个等级。</w:t>
      </w:r>
    </w:p>
    <w:p>
      <w:pPr>
        <w:spacing w:line="360" w:lineRule="auto"/>
        <w:ind w:firstLine="645"/>
        <w:rPr>
          <w:rFonts w:ascii="仿宋" w:hAnsi="仿宋" w:eastAsia="仿宋"/>
          <w:sz w:val="32"/>
          <w:szCs w:val="32"/>
        </w:rPr>
      </w:pPr>
      <w:r>
        <w:rPr>
          <w:rFonts w:hint="eastAsia" w:ascii="仿宋" w:hAnsi="仿宋" w:eastAsia="仿宋"/>
          <w:sz w:val="32"/>
          <w:szCs w:val="32"/>
        </w:rPr>
        <w:t>基金募集机构可以根据实际情况在前款所列等级的基础上进一步进行风险细分。</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第三十九条</w:t>
      </w:r>
      <w:r>
        <w:rPr>
          <w:rFonts w:hint="eastAsia" w:ascii="仿宋" w:hAnsi="仿宋" w:eastAsia="仿宋"/>
          <w:sz w:val="32"/>
          <w:szCs w:val="32"/>
        </w:rPr>
        <w:t xml:space="preserve"> 基金募集机构对基金产品或者服务进行风险等级划分，要了解以下信息：</w:t>
      </w:r>
    </w:p>
    <w:p>
      <w:pPr>
        <w:spacing w:line="360" w:lineRule="auto"/>
        <w:ind w:firstLine="645"/>
        <w:rPr>
          <w:rFonts w:ascii="仿宋" w:hAnsi="仿宋" w:eastAsia="仿宋"/>
          <w:sz w:val="32"/>
          <w:szCs w:val="32"/>
        </w:rPr>
      </w:pPr>
      <w:r>
        <w:rPr>
          <w:rFonts w:hint="eastAsia" w:ascii="仿宋" w:hAnsi="仿宋" w:eastAsia="仿宋"/>
          <w:sz w:val="32"/>
          <w:szCs w:val="32"/>
        </w:rPr>
        <w:t>（一）基金管理人的诚信状况、经营管理能力、投资管理能力、内部控制情况、合法合规情况；</w:t>
      </w:r>
    </w:p>
    <w:p>
      <w:pPr>
        <w:spacing w:line="360" w:lineRule="auto"/>
        <w:ind w:firstLine="645"/>
        <w:rPr>
          <w:rFonts w:ascii="仿宋" w:hAnsi="仿宋" w:eastAsia="仿宋"/>
          <w:sz w:val="32"/>
          <w:szCs w:val="32"/>
        </w:rPr>
      </w:pPr>
      <w:r>
        <w:rPr>
          <w:rFonts w:hint="eastAsia" w:ascii="仿宋" w:hAnsi="仿宋" w:eastAsia="仿宋"/>
          <w:sz w:val="32"/>
          <w:szCs w:val="32"/>
        </w:rPr>
        <w:t>（二）基金产品或者服务的合法合规情况，发行方式，类型及组织形式，托管情况，投资范围、投资策略和投资限制概况，业绩比较基准，收益与风险的匹配情况，投资者承担的主要费用及费率。</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第四十条</w:t>
      </w:r>
      <w:r>
        <w:rPr>
          <w:rFonts w:hint="eastAsia" w:ascii="仿宋" w:hAnsi="仿宋" w:eastAsia="仿宋"/>
          <w:sz w:val="32"/>
          <w:szCs w:val="32"/>
        </w:rPr>
        <w:t xml:space="preserve"> 基金产品或者服务风险等级划分要综合考虑以下因素：</w:t>
      </w:r>
    </w:p>
    <w:p>
      <w:pPr>
        <w:spacing w:line="360" w:lineRule="auto"/>
        <w:rPr>
          <w:rFonts w:ascii="仿宋" w:hAnsi="仿宋" w:eastAsia="仿宋"/>
          <w:sz w:val="32"/>
          <w:szCs w:val="32"/>
        </w:rPr>
      </w:pPr>
      <w:r>
        <w:rPr>
          <w:rFonts w:hint="eastAsia" w:ascii="仿宋" w:hAnsi="仿宋" w:eastAsia="仿宋"/>
          <w:sz w:val="32"/>
          <w:szCs w:val="32"/>
        </w:rPr>
        <w:t xml:space="preserve">    （一）基金管理人成立时间，治理结构，资本金规模，管理基金规模，投研团队稳定性，资产配置能力、内部控制制度健全性及执行度，风险控制完备性，是否有风险准备金制度安排，从业人员合规性，股东、高级管理人员及基金经理的稳定性等；</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基金产品或者服务的结构（母子基金、平行基金），投资方向、投资范围和投资比例，募集方式及最低认缴金额，运作方式，存续期限，过往业绩及净值的历史波动程度，成立以来有无违规行为发生，基金估值政策、程序和定价模式，申购和赎回安排，杠杆运用情况等。</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第四十一条</w:t>
      </w:r>
      <w:r>
        <w:rPr>
          <w:rFonts w:hint="eastAsia" w:ascii="仿宋" w:hAnsi="仿宋" w:eastAsia="仿宋"/>
          <w:sz w:val="32"/>
          <w:szCs w:val="32"/>
        </w:rPr>
        <w:t xml:space="preserve"> 基金产品或者服务存在下列因素的，要审慎评估其风险等级：</w:t>
      </w:r>
    </w:p>
    <w:p>
      <w:pPr>
        <w:spacing w:line="360" w:lineRule="auto"/>
        <w:rPr>
          <w:rFonts w:ascii="仿宋" w:hAnsi="仿宋" w:eastAsia="仿宋"/>
          <w:sz w:val="32"/>
          <w:szCs w:val="32"/>
        </w:rPr>
      </w:pPr>
      <w:r>
        <w:rPr>
          <w:rFonts w:hint="eastAsia" w:ascii="仿宋" w:hAnsi="仿宋" w:eastAsia="仿宋"/>
          <w:sz w:val="32"/>
          <w:szCs w:val="32"/>
        </w:rPr>
        <w:t xml:space="preserve">    （一）基金产品或者服务合同存在特殊免责条款、结构性安排、投资标的具有衍生品性质等导致普通投资者难以理解的；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（二）基金产品或者服务不存在公开交易市场，或因参与投资者少等因素导致难以在短期内以合理价格顺利变现的；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（三）基金产品或者服务的投资标的流动性差、存在非标准资产投资导致不易估值的；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（四）基金产品或者服务投资杠杆达到相关要求上限、投资单一标的集中度过高的；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（五）基金管理人、实际控制人、高管人员涉嫌重大违法违规行为或正在接受监管部门或自律管理部门调查的；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（六）影响投资者利益的其他重大事项；</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（七）协会认定的高风险基金产品或者服务。</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第四十二条</w:t>
      </w:r>
      <w:r>
        <w:rPr>
          <w:rFonts w:hint="eastAsia" w:ascii="仿宋" w:hAnsi="仿宋" w:eastAsia="仿宋"/>
          <w:sz w:val="32"/>
          <w:szCs w:val="32"/>
        </w:rPr>
        <w:t xml:space="preserve"> 基金募集机构可以通过定量和定性相结合的方法对基金产品或者服务进行风险分级。</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基金募集机构可以根据基金产品或者服务风险因素与风险等级的相关性，确定各项评估因素的分值和权重，建立评估分值与基金产品风险等级的对应关系。</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基金募集机构通过定量分析对基金产品进行风险分级时，可以运用贝塔系数、标准差、风险在险值等风险指标体系，划分基金的期限风险、流动性风险、波动性风险等。</w:t>
      </w:r>
    </w:p>
    <w:p>
      <w:pPr>
        <w:spacing w:line="360" w:lineRule="auto"/>
        <w:rPr>
          <w:rFonts w:ascii="仿宋" w:hAnsi="仿宋" w:eastAsia="仿宋"/>
          <w:b/>
          <w:sz w:val="32"/>
          <w:szCs w:val="32"/>
        </w:rPr>
      </w:pPr>
    </w:p>
    <w:p>
      <w:pPr>
        <w:spacing w:line="360" w:lineRule="auto"/>
        <w:jc w:val="center"/>
        <w:rPr>
          <w:rFonts w:ascii="仿宋" w:hAnsi="仿宋" w:eastAsia="仿宋"/>
          <w:b/>
          <w:sz w:val="32"/>
          <w:szCs w:val="32"/>
        </w:rPr>
      </w:pPr>
      <w:r>
        <w:rPr>
          <w:rFonts w:hint="eastAsia" w:ascii="仿宋" w:hAnsi="仿宋" w:eastAsia="仿宋"/>
          <w:b/>
          <w:sz w:val="32"/>
          <w:szCs w:val="32"/>
        </w:rPr>
        <w:t>第五章 普通投资者与基金产品或者服务的风险匹配</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第四十三条</w:t>
      </w:r>
      <w:r>
        <w:rPr>
          <w:rFonts w:hint="eastAsia" w:ascii="仿宋" w:hAnsi="仿宋" w:eastAsia="仿宋"/>
          <w:sz w:val="32"/>
          <w:szCs w:val="32"/>
        </w:rPr>
        <w:t xml:space="preserve"> 基金募集机构要制定普通投资者和基金产品或者服务匹配的方法、流程，明确各个岗位在执行投资者适当性管理过程中的职责。</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匹配方法至少要在普通投资者的风险承受能力类型和基金产品或者服务的风险等级之间建立合理的对应关系，同时在建立对应关系的基础上将基金产品或者服务风险超越普通投资者风险承受能力的情况定义为风险不匹配。</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第四十四条</w:t>
      </w:r>
      <w:r>
        <w:rPr>
          <w:rFonts w:hint="eastAsia" w:ascii="仿宋" w:hAnsi="仿宋" w:eastAsia="仿宋"/>
          <w:sz w:val="32"/>
          <w:szCs w:val="32"/>
        </w:rPr>
        <w:t xml:space="preserve"> 基金募集机构要根据普通投资者风险承受能力和基金产品或者服务的风险等级建立以下适当性匹配原则：</w:t>
      </w:r>
    </w:p>
    <w:p>
      <w:pPr>
        <w:spacing w:line="360" w:lineRule="auto"/>
        <w:ind w:firstLine="640" w:firstLineChars="200"/>
        <w:rPr>
          <w:rFonts w:ascii="仿宋" w:hAnsi="仿宋" w:eastAsia="仿宋"/>
          <w:color w:val="000000"/>
          <w:sz w:val="32"/>
          <w:szCs w:val="32"/>
        </w:rPr>
      </w:pPr>
      <w:r>
        <w:rPr>
          <w:rFonts w:hint="eastAsia" w:ascii="仿宋" w:hAnsi="仿宋" w:eastAsia="仿宋"/>
          <w:sz w:val="32"/>
          <w:szCs w:val="32"/>
        </w:rPr>
        <w:t>（一）</w:t>
      </w:r>
      <w:r>
        <w:rPr>
          <w:rFonts w:hint="eastAsia" w:ascii="仿宋" w:hAnsi="仿宋" w:eastAsia="仿宋"/>
          <w:color w:val="000000"/>
          <w:sz w:val="32"/>
          <w:szCs w:val="32"/>
        </w:rPr>
        <w:t>C1型（含最低风险承受能力类别）普通投资者可以购买R1级基金产品或者服务；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（二）C2型普通投资者可以购买R2级及以下风险等级的基金产品或者服务；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（三）C3型普通投资者可以购买R3级及以下风险等级的基金产品或者服务；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（四）C4型普通投资者可以购买R4级及以下风险等级的基金产品或者服务；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（五）C5型普通投资者可以购买所有风险等级的基金产品或者服务。</w:t>
      </w:r>
    </w:p>
    <w:p>
      <w:pPr>
        <w:spacing w:line="360" w:lineRule="auto"/>
        <w:ind w:firstLine="643" w:firstLineChars="200"/>
        <w:rPr>
          <w:rFonts w:ascii="仿宋" w:hAnsi="仿宋" w:eastAsia="仿宋"/>
          <w:color w:val="000000"/>
          <w:sz w:val="32"/>
          <w:szCs w:val="32"/>
        </w:rPr>
      </w:pPr>
      <w:r>
        <w:rPr>
          <w:rFonts w:hint="eastAsia" w:ascii="仿宋" w:hAnsi="仿宋" w:eastAsia="仿宋"/>
          <w:b/>
          <w:color w:val="000000"/>
          <w:sz w:val="32"/>
          <w:szCs w:val="32"/>
        </w:rPr>
        <w:t>第四十五条</w:t>
      </w:r>
      <w:r>
        <w:rPr>
          <w:rFonts w:hint="eastAsia" w:ascii="仿宋" w:hAnsi="仿宋" w:eastAsia="仿宋"/>
          <w:color w:val="000000"/>
          <w:sz w:val="32"/>
          <w:szCs w:val="32"/>
        </w:rPr>
        <w:t xml:space="preserve"> 基金募集机构向投资者销售基金产品或者服务时，禁止出现以下行为：</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（一）向不符合准入要求的投资者销售基金产品或者服务；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（二）向投资者就不确定的事项提供确定性的判断，或者告知投资者有可能使其误认为具有确定性的判断；</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（三）向普通投资者主动推介风险等级高于其风险承受能力的基金产品或者服务；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（四）向普通投资者主动推介不符合其投资目标的基金产品或者服务；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（五）向风险承受能力最低类别的普通投资者销售风险等级高于其风险承受能力的基金产品或者服务；</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（六）其他违背适当性要求，损害投资者合法权益的行为。</w:t>
      </w:r>
    </w:p>
    <w:p>
      <w:pPr>
        <w:ind w:firstLine="643" w:firstLineChars="200"/>
        <w:rPr>
          <w:rFonts w:ascii="仿宋" w:hAnsi="仿宋" w:eastAsia="仿宋"/>
          <w:sz w:val="32"/>
          <w:szCs w:val="32"/>
        </w:rPr>
      </w:pPr>
      <w:r>
        <w:rPr>
          <w:rFonts w:hint="eastAsia" w:ascii="仿宋" w:hAnsi="仿宋" w:eastAsia="仿宋"/>
          <w:b/>
          <w:sz w:val="32"/>
          <w:szCs w:val="32"/>
        </w:rPr>
        <w:t>第四十六条</w:t>
      </w:r>
      <w:r>
        <w:rPr>
          <w:rFonts w:hint="eastAsia" w:ascii="仿宋" w:hAnsi="仿宋" w:eastAsia="仿宋"/>
          <w:sz w:val="32"/>
          <w:szCs w:val="32"/>
        </w:rPr>
        <w:t xml:space="preserve"> 最低风险承受能力类别的普通投资者不得购买高于其风险承受能力的基金产品或者服务。</w:t>
      </w:r>
    </w:p>
    <w:p>
      <w:pPr>
        <w:spacing w:line="360" w:lineRule="auto"/>
        <w:ind w:firstLine="640" w:firstLineChars="200"/>
        <w:rPr>
          <w:rFonts w:ascii="仿宋" w:hAnsi="仿宋" w:eastAsia="仿宋" w:cs="楷体_GB2312"/>
          <w:sz w:val="32"/>
          <w:szCs w:val="32"/>
        </w:rPr>
      </w:pPr>
      <w:r>
        <w:rPr>
          <w:rFonts w:hint="eastAsia" w:ascii="仿宋" w:hAnsi="仿宋" w:eastAsia="仿宋"/>
          <w:sz w:val="32"/>
          <w:szCs w:val="32"/>
        </w:rPr>
        <w:t>除因遗产继承等特殊原因产生的基金份额转让之外，普通投资者主动购买高于其风险承受能力基金产品或者服务的行为，不得突破相关准入资格的限制。</w:t>
      </w:r>
    </w:p>
    <w:p>
      <w:pPr>
        <w:widowControl/>
        <w:tabs>
          <w:tab w:val="left" w:pos="1985"/>
        </w:tabs>
        <w:adjustRightInd w:val="0"/>
        <w:snapToGrid w:val="0"/>
        <w:spacing w:line="360" w:lineRule="auto"/>
        <w:ind w:firstLine="643" w:firstLineChars="200"/>
        <w:rPr>
          <w:rFonts w:ascii="仿宋" w:hAnsi="仿宋" w:eastAsia="仿宋"/>
          <w:sz w:val="32"/>
          <w:szCs w:val="32"/>
        </w:rPr>
      </w:pPr>
      <w:r>
        <w:rPr>
          <w:rFonts w:hint="eastAsia" w:ascii="仿宋" w:hAnsi="仿宋" w:eastAsia="仿宋"/>
          <w:b/>
          <w:sz w:val="32"/>
          <w:szCs w:val="32"/>
        </w:rPr>
        <w:t>第四十七条</w:t>
      </w:r>
      <w:r>
        <w:rPr>
          <w:rFonts w:hint="eastAsia" w:ascii="仿宋" w:hAnsi="仿宋" w:eastAsia="仿宋"/>
          <w:sz w:val="32"/>
          <w:szCs w:val="32"/>
        </w:rPr>
        <w:t xml:space="preserve"> </w:t>
      </w:r>
      <w:r>
        <w:rPr>
          <w:rFonts w:hint="eastAsia" w:ascii="仿宋" w:hAnsi="仿宋" w:eastAsia="仿宋"/>
          <w:color w:val="000000"/>
          <w:sz w:val="32"/>
          <w:szCs w:val="32"/>
        </w:rPr>
        <w:t>基金募集机构在向普通投资者销售R5风险等级的基金产品或者服务时，应向其完整揭示以下事项：</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（一）基金产品或者服务的详细信息、重点特性和风险；</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（二）基金产品或者服务的主要费用、费率及重要权利、信息披露内容、方式及频率</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（三）普通投资者可能承担的损失；</w:t>
      </w:r>
    </w:p>
    <w:p>
      <w:pPr>
        <w:widowControl/>
        <w:adjustRightInd w:val="0"/>
        <w:snapToGrid w:val="0"/>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（四）普通投资者投诉方式及纠纷解决安排。</w:t>
      </w:r>
    </w:p>
    <w:p>
      <w:pPr>
        <w:ind w:firstLine="643" w:firstLineChars="200"/>
        <w:rPr>
          <w:rFonts w:ascii="仿宋" w:hAnsi="仿宋" w:eastAsia="仿宋"/>
          <w:sz w:val="32"/>
          <w:szCs w:val="32"/>
        </w:rPr>
      </w:pPr>
      <w:r>
        <w:rPr>
          <w:rFonts w:hint="eastAsia" w:ascii="仿宋" w:hAnsi="仿宋" w:eastAsia="仿宋"/>
          <w:b/>
          <w:sz w:val="32"/>
          <w:szCs w:val="32"/>
        </w:rPr>
        <w:t>第四十八条</w:t>
      </w:r>
      <w:r>
        <w:rPr>
          <w:rFonts w:hint="eastAsia" w:ascii="仿宋" w:hAnsi="仿宋" w:eastAsia="仿宋"/>
          <w:sz w:val="32"/>
          <w:szCs w:val="32"/>
        </w:rPr>
        <w:t xml:space="preserve"> 普通投资者</w:t>
      </w:r>
      <w:r>
        <w:rPr>
          <w:rFonts w:hint="eastAsia" w:ascii="仿宋" w:hAnsi="仿宋" w:eastAsia="仿宋"/>
          <w:sz w:val="32"/>
          <w:szCs w:val="32"/>
          <w:highlight w:val="yellow"/>
        </w:rPr>
        <w:t>主动要求</w:t>
      </w:r>
      <w:r>
        <w:rPr>
          <w:rFonts w:hint="eastAsia" w:ascii="仿宋" w:hAnsi="仿宋" w:eastAsia="仿宋"/>
          <w:sz w:val="32"/>
          <w:szCs w:val="32"/>
        </w:rPr>
        <w:t>购买与之风险承受能力不匹配的基金产品或者服务的，基金销售要</w:t>
      </w:r>
      <w:r>
        <w:rPr>
          <w:rFonts w:ascii="仿宋" w:hAnsi="仿宋" w:eastAsia="仿宋"/>
          <w:sz w:val="32"/>
          <w:szCs w:val="32"/>
        </w:rPr>
        <w:t>遵循以下程序：</w:t>
      </w:r>
    </w:p>
    <w:p>
      <w:pPr>
        <w:ind w:firstLine="640" w:firstLineChars="200"/>
        <w:rPr>
          <w:rFonts w:ascii="仿宋" w:hAnsi="仿宋" w:eastAsia="仿宋"/>
          <w:sz w:val="32"/>
          <w:szCs w:val="32"/>
        </w:rPr>
      </w:pPr>
      <w:r>
        <w:rPr>
          <w:rFonts w:hint="eastAsia" w:ascii="仿宋" w:hAnsi="仿宋" w:eastAsia="仿宋"/>
          <w:sz w:val="32"/>
          <w:szCs w:val="32"/>
        </w:rPr>
        <w:t xml:space="preserve">（一）普通投资者主动向基金募集机构提出申请，明确表示要求购买具体的、高于其风险承受能力的基金产品或服务，并同时声明，基金募集机构及其工作人员没有在基金销售过程中主动推介该基金产品或服务的信息； </w:t>
      </w:r>
    </w:p>
    <w:p>
      <w:pPr>
        <w:ind w:firstLine="630"/>
        <w:rPr>
          <w:rFonts w:ascii="仿宋" w:hAnsi="仿宋" w:eastAsia="仿宋"/>
          <w:sz w:val="32"/>
          <w:szCs w:val="32"/>
        </w:rPr>
      </w:pPr>
      <w:r>
        <w:rPr>
          <w:rFonts w:hint="eastAsia" w:ascii="仿宋" w:hAnsi="仿宋" w:eastAsia="仿宋"/>
          <w:sz w:val="32"/>
          <w:szCs w:val="32"/>
        </w:rPr>
        <w:t>（二）基金募集机构对普通投资者资格进行审核，确认其不属于风险承受能力最低类别投资者，也没有违反投资者准入性规定；</w:t>
      </w:r>
    </w:p>
    <w:p>
      <w:pPr>
        <w:ind w:firstLine="630"/>
        <w:rPr>
          <w:rFonts w:ascii="仿宋" w:hAnsi="仿宋" w:eastAsia="仿宋"/>
          <w:sz w:val="32"/>
          <w:szCs w:val="32"/>
        </w:rPr>
      </w:pPr>
      <w:r>
        <w:rPr>
          <w:rFonts w:hint="eastAsia" w:ascii="仿宋" w:hAnsi="仿宋" w:eastAsia="仿宋"/>
          <w:sz w:val="32"/>
          <w:szCs w:val="32"/>
        </w:rPr>
        <w:t>（三）基金募集机构向普通投资者以纸质或电子文档的方式进行特别警示，告知其该产品或服务风险高于投资者承受能力；</w:t>
      </w:r>
    </w:p>
    <w:p>
      <w:pPr>
        <w:ind w:firstLine="630"/>
        <w:rPr>
          <w:rFonts w:ascii="仿宋" w:hAnsi="仿宋" w:eastAsia="仿宋"/>
          <w:sz w:val="32"/>
          <w:szCs w:val="32"/>
        </w:rPr>
      </w:pPr>
      <w:r>
        <w:rPr>
          <w:rFonts w:hint="eastAsia" w:ascii="仿宋" w:hAnsi="仿宋" w:eastAsia="仿宋"/>
          <w:sz w:val="32"/>
          <w:szCs w:val="32"/>
        </w:rPr>
        <w:t>（四）普通投资者对该警示进行确认，表示已充分知晓该基金产品或者服务风险高于其承受能力，并明确做出愿意自行承担相应不利结果的意思表示；</w:t>
      </w:r>
    </w:p>
    <w:p>
      <w:pPr>
        <w:ind w:firstLine="630"/>
        <w:rPr>
          <w:rFonts w:ascii="仿宋" w:hAnsi="仿宋" w:eastAsia="仿宋"/>
          <w:sz w:val="32"/>
          <w:szCs w:val="32"/>
        </w:rPr>
      </w:pPr>
      <w:r>
        <w:rPr>
          <w:rFonts w:hint="eastAsia" w:ascii="仿宋" w:hAnsi="仿宋" w:eastAsia="仿宋"/>
          <w:sz w:val="32"/>
          <w:szCs w:val="32"/>
        </w:rPr>
        <w:t>（五）基金募集机构履行特别警示义务后，普通投资者仍坚持购买该产品或者服务的，基金募集机构可以向其销售相关产品或者提供相关服务。</w:t>
      </w:r>
    </w:p>
    <w:p>
      <w:pPr>
        <w:spacing w:line="360" w:lineRule="auto"/>
        <w:ind w:firstLine="643" w:firstLineChars="200"/>
        <w:rPr>
          <w:rFonts w:ascii="仿宋" w:hAnsi="仿宋" w:eastAsia="仿宋"/>
          <w:color w:val="000000"/>
          <w:sz w:val="32"/>
          <w:szCs w:val="32"/>
        </w:rPr>
      </w:pPr>
      <w:r>
        <w:rPr>
          <w:rFonts w:hint="eastAsia" w:ascii="仿宋" w:hAnsi="仿宋" w:eastAsia="仿宋"/>
          <w:b/>
          <w:sz w:val="32"/>
          <w:szCs w:val="32"/>
        </w:rPr>
        <w:t>第四十九条</w:t>
      </w:r>
      <w:r>
        <w:rPr>
          <w:rFonts w:hint="eastAsia" w:ascii="仿宋" w:hAnsi="仿宋" w:eastAsia="仿宋"/>
          <w:sz w:val="32"/>
          <w:szCs w:val="32"/>
        </w:rPr>
        <w:t xml:space="preserve"> </w:t>
      </w:r>
      <w:r>
        <w:rPr>
          <w:rFonts w:hint="eastAsia" w:ascii="仿宋" w:hAnsi="仿宋" w:eastAsia="仿宋"/>
          <w:color w:val="000000"/>
          <w:sz w:val="32"/>
          <w:szCs w:val="32"/>
        </w:rPr>
        <w:t>投资者信息发生重大变化的，基金募集机构要及时更新投资者信息，重新评估投资者风险承受能力，并将调整后的风险承受能力告知投资者。</w:t>
      </w:r>
    </w:p>
    <w:p>
      <w:pPr>
        <w:spacing w:line="360" w:lineRule="auto"/>
        <w:ind w:firstLine="643" w:firstLineChars="200"/>
        <w:jc w:val="left"/>
        <w:rPr>
          <w:rFonts w:ascii="仿宋" w:hAnsi="仿宋" w:eastAsia="仿宋"/>
          <w:color w:val="000000"/>
          <w:sz w:val="32"/>
          <w:szCs w:val="32"/>
        </w:rPr>
      </w:pPr>
      <w:r>
        <w:rPr>
          <w:rFonts w:hint="eastAsia" w:ascii="仿宋" w:hAnsi="仿宋" w:eastAsia="仿宋"/>
          <w:b/>
          <w:sz w:val="32"/>
          <w:szCs w:val="32"/>
        </w:rPr>
        <w:t>第五十条</w:t>
      </w:r>
      <w:r>
        <w:rPr>
          <w:rFonts w:hint="eastAsia" w:ascii="仿宋" w:hAnsi="仿宋" w:eastAsia="仿宋"/>
          <w:sz w:val="32"/>
          <w:szCs w:val="32"/>
        </w:rPr>
        <w:t xml:space="preserve"> </w:t>
      </w:r>
      <w:r>
        <w:rPr>
          <w:rFonts w:hint="eastAsia" w:ascii="仿宋" w:hAnsi="仿宋" w:eastAsia="仿宋"/>
          <w:color w:val="000000"/>
          <w:sz w:val="32"/>
          <w:szCs w:val="32"/>
        </w:rPr>
        <w:t>基金募集机构销售的基金产品或者服务信息发生变化的，要及时依据基金产品或者服务风险等级划分参考标准，重新评估其风险等级。基金募集机构还要建立长效机制，对基金产品或者服务的</w:t>
      </w:r>
      <w:bookmarkStart w:id="2" w:name="_GoBack"/>
      <w:r>
        <w:rPr>
          <w:rFonts w:hint="eastAsia" w:ascii="仿宋" w:hAnsi="仿宋" w:eastAsia="仿宋"/>
          <w:color w:val="000000"/>
          <w:sz w:val="32"/>
          <w:szCs w:val="32"/>
          <w:highlight w:val="none"/>
        </w:rPr>
        <w:t>风险定期进行评价更新</w:t>
      </w:r>
      <w:bookmarkEnd w:id="2"/>
      <w:r>
        <w:rPr>
          <w:rFonts w:hint="eastAsia" w:ascii="仿宋" w:hAnsi="仿宋" w:eastAsia="仿宋"/>
          <w:color w:val="000000"/>
          <w:sz w:val="32"/>
          <w:szCs w:val="32"/>
        </w:rPr>
        <w:t>。</w:t>
      </w:r>
    </w:p>
    <w:p>
      <w:pPr>
        <w:spacing w:line="360" w:lineRule="auto"/>
        <w:ind w:firstLine="643" w:firstLineChars="200"/>
        <w:jc w:val="left"/>
        <w:rPr>
          <w:rFonts w:ascii="仿宋" w:hAnsi="仿宋" w:eastAsia="仿宋"/>
          <w:sz w:val="32"/>
          <w:szCs w:val="32"/>
        </w:rPr>
      </w:pPr>
      <w:r>
        <w:rPr>
          <w:rFonts w:hint="eastAsia" w:ascii="仿宋" w:hAnsi="仿宋" w:eastAsia="仿宋"/>
          <w:b/>
          <w:sz w:val="32"/>
          <w:szCs w:val="32"/>
        </w:rPr>
        <w:t>第五十一条</w:t>
      </w:r>
      <w:r>
        <w:rPr>
          <w:rFonts w:hint="eastAsia" w:ascii="仿宋" w:hAnsi="仿宋" w:eastAsia="仿宋"/>
          <w:sz w:val="32"/>
          <w:szCs w:val="32"/>
        </w:rPr>
        <w:t xml:space="preserve"> 由于投资者风险承受能力或基金产品或者服务风险等级发生变化，导致投资者所持有基金产品或者服务不匹配的，基金募集机构</w:t>
      </w:r>
      <w:r>
        <w:rPr>
          <w:rFonts w:hint="eastAsia" w:ascii="仿宋" w:hAnsi="仿宋" w:eastAsia="仿宋"/>
          <w:color w:val="000000"/>
          <w:sz w:val="32"/>
          <w:szCs w:val="32"/>
        </w:rPr>
        <w:t>要</w:t>
      </w:r>
      <w:r>
        <w:rPr>
          <w:rFonts w:hint="eastAsia" w:ascii="仿宋" w:hAnsi="仿宋" w:eastAsia="仿宋"/>
          <w:sz w:val="32"/>
          <w:szCs w:val="32"/>
        </w:rPr>
        <w:t>将不匹配情况告知投资者，并给出新的匹配意见。</w:t>
      </w:r>
    </w:p>
    <w:p>
      <w:pPr>
        <w:spacing w:line="360" w:lineRule="auto"/>
        <w:ind w:firstLine="643" w:firstLineChars="200"/>
        <w:jc w:val="left"/>
        <w:rPr>
          <w:rFonts w:ascii="仿宋" w:hAnsi="仿宋" w:eastAsia="仿宋"/>
          <w:sz w:val="32"/>
          <w:szCs w:val="32"/>
        </w:rPr>
      </w:pPr>
      <w:r>
        <w:rPr>
          <w:rFonts w:hint="eastAsia" w:ascii="仿宋" w:hAnsi="仿宋" w:eastAsia="仿宋"/>
          <w:b/>
          <w:sz w:val="32"/>
          <w:szCs w:val="32"/>
        </w:rPr>
        <w:t>第五十二条</w:t>
      </w:r>
      <w:r>
        <w:rPr>
          <w:rFonts w:hint="eastAsia" w:ascii="仿宋" w:hAnsi="仿宋" w:eastAsia="仿宋"/>
          <w:sz w:val="32"/>
          <w:szCs w:val="32"/>
        </w:rPr>
        <w:t xml:space="preserve"> 协会对基金募集机构履行适当性义务进行自律管理，对违反适当性管理规定的基金募集机构及人员依法采取自律惩戒措施。</w:t>
      </w:r>
    </w:p>
    <w:p>
      <w:pPr>
        <w:spacing w:line="360" w:lineRule="auto"/>
        <w:rPr>
          <w:rFonts w:ascii="仿宋" w:hAnsi="仿宋" w:eastAsia="仿宋"/>
          <w:sz w:val="32"/>
          <w:szCs w:val="32"/>
        </w:rPr>
      </w:pPr>
    </w:p>
    <w:p>
      <w:pPr>
        <w:spacing w:line="360" w:lineRule="auto"/>
        <w:jc w:val="center"/>
        <w:rPr>
          <w:rFonts w:ascii="仿宋" w:hAnsi="仿宋" w:eastAsia="仿宋"/>
          <w:b/>
          <w:sz w:val="32"/>
          <w:szCs w:val="32"/>
        </w:rPr>
      </w:pPr>
      <w:r>
        <w:rPr>
          <w:rFonts w:hint="eastAsia" w:ascii="仿宋" w:hAnsi="仿宋" w:eastAsia="仿宋"/>
          <w:b/>
          <w:sz w:val="32"/>
          <w:szCs w:val="32"/>
        </w:rPr>
        <w:t>第六章 附则</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第五十三条</w:t>
      </w:r>
      <w:r>
        <w:rPr>
          <w:rFonts w:hint="eastAsia" w:ascii="仿宋" w:hAnsi="仿宋" w:eastAsia="仿宋"/>
          <w:sz w:val="32"/>
          <w:szCs w:val="32"/>
        </w:rPr>
        <w:t xml:space="preserve"> 私募基金管理人的主体范围适用《私募投资基金监督管理暂行办法》第二条的规定。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本指引未尽内容，募集机构依据《办法》及相关法律法规、自律规则予以适用。</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第五十四条</w:t>
      </w:r>
      <w:r>
        <w:rPr>
          <w:rFonts w:hint="eastAsia" w:ascii="仿宋" w:hAnsi="仿宋" w:eastAsia="仿宋"/>
          <w:sz w:val="32"/>
          <w:szCs w:val="32"/>
        </w:rPr>
        <w:t xml:space="preserve"> 本指引自2017年7月1日起实施。</w:t>
      </w:r>
    </w:p>
    <w:p>
      <w:pPr>
        <w:spacing w:line="360" w:lineRule="auto"/>
        <w:ind w:firstLine="643" w:firstLineChars="200"/>
        <w:rPr>
          <w:rFonts w:ascii="仿宋" w:hAnsi="仿宋" w:eastAsia="仿宋"/>
          <w:sz w:val="32"/>
          <w:szCs w:val="32"/>
        </w:rPr>
      </w:pPr>
      <w:r>
        <w:rPr>
          <w:rFonts w:hint="eastAsia" w:ascii="仿宋" w:hAnsi="仿宋" w:eastAsia="仿宋"/>
          <w:b/>
          <w:sz w:val="32"/>
          <w:szCs w:val="32"/>
        </w:rPr>
        <w:t>第五十五条</w:t>
      </w:r>
      <w:r>
        <w:rPr>
          <w:rFonts w:hint="eastAsia" w:ascii="仿宋" w:hAnsi="仿宋" w:eastAsia="仿宋"/>
          <w:sz w:val="32"/>
          <w:szCs w:val="32"/>
        </w:rPr>
        <w:t xml:space="preserve"> 本指引由协会负责解释。</w:t>
      </w:r>
    </w:p>
    <w:sectPr>
      <w:footerReference r:id="rId3" w:type="default"/>
      <w:pgSz w:w="11907" w:h="16839"/>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8062972"/>
      <w:docPartObj>
        <w:docPartGallery w:val="AutoText"/>
      </w:docPartObj>
    </w:sdtPr>
    <w:sdtContent>
      <w:p>
        <w:pPr>
          <w:pStyle w:val="4"/>
          <w:jc w:val="center"/>
        </w:pPr>
        <w:r>
          <w:fldChar w:fldCharType="begin"/>
        </w:r>
        <w:r>
          <w:instrText xml:space="preserve">PAGE   \* MERGEFORMAT</w:instrText>
        </w:r>
        <w:r>
          <w:fldChar w:fldCharType="separate"/>
        </w:r>
        <w:r>
          <w:rPr>
            <w:lang w:val="zh-CN"/>
          </w:rPr>
          <w:t>17</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BD1416"/>
    <w:multiLevelType w:val="multilevel"/>
    <w:tmpl w:val="28BD1416"/>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wNzI2ZjMwZTQ1Mzc3ZGUzZWYwM2U3ZTkxNTNiYTcifQ=="/>
  </w:docVars>
  <w:rsids>
    <w:rsidRoot w:val="00B25C52"/>
    <w:rsid w:val="0000399A"/>
    <w:rsid w:val="00011694"/>
    <w:rsid w:val="000119CE"/>
    <w:rsid w:val="00020F8E"/>
    <w:rsid w:val="00023380"/>
    <w:rsid w:val="000279A5"/>
    <w:rsid w:val="00030070"/>
    <w:rsid w:val="00031EBB"/>
    <w:rsid w:val="0004593F"/>
    <w:rsid w:val="00054934"/>
    <w:rsid w:val="0005663C"/>
    <w:rsid w:val="00066286"/>
    <w:rsid w:val="000706EF"/>
    <w:rsid w:val="00070F51"/>
    <w:rsid w:val="00082E88"/>
    <w:rsid w:val="000835E7"/>
    <w:rsid w:val="00086DCF"/>
    <w:rsid w:val="00087384"/>
    <w:rsid w:val="00090501"/>
    <w:rsid w:val="000955EC"/>
    <w:rsid w:val="000B4B76"/>
    <w:rsid w:val="000B7140"/>
    <w:rsid w:val="000B7455"/>
    <w:rsid w:val="000C1A32"/>
    <w:rsid w:val="000C3A6B"/>
    <w:rsid w:val="000D4189"/>
    <w:rsid w:val="000E0B64"/>
    <w:rsid w:val="000E5A3F"/>
    <w:rsid w:val="000E6DB6"/>
    <w:rsid w:val="000F49BF"/>
    <w:rsid w:val="000F6326"/>
    <w:rsid w:val="001022E3"/>
    <w:rsid w:val="00103F96"/>
    <w:rsid w:val="00112DDF"/>
    <w:rsid w:val="0011495D"/>
    <w:rsid w:val="00134A1D"/>
    <w:rsid w:val="00136038"/>
    <w:rsid w:val="001365AB"/>
    <w:rsid w:val="00137C6D"/>
    <w:rsid w:val="00137DBC"/>
    <w:rsid w:val="00163943"/>
    <w:rsid w:val="00170F55"/>
    <w:rsid w:val="00171DF9"/>
    <w:rsid w:val="00174533"/>
    <w:rsid w:val="00180B6A"/>
    <w:rsid w:val="001820ED"/>
    <w:rsid w:val="001A3723"/>
    <w:rsid w:val="001A5A5A"/>
    <w:rsid w:val="001A7EF5"/>
    <w:rsid w:val="001B0E50"/>
    <w:rsid w:val="001B6B69"/>
    <w:rsid w:val="001F28E6"/>
    <w:rsid w:val="00206C42"/>
    <w:rsid w:val="002417C0"/>
    <w:rsid w:val="00241BBD"/>
    <w:rsid w:val="00244723"/>
    <w:rsid w:val="00250A82"/>
    <w:rsid w:val="00253085"/>
    <w:rsid w:val="00253F35"/>
    <w:rsid w:val="0025507E"/>
    <w:rsid w:val="00260555"/>
    <w:rsid w:val="002715C6"/>
    <w:rsid w:val="00285DD0"/>
    <w:rsid w:val="0028719C"/>
    <w:rsid w:val="002909B8"/>
    <w:rsid w:val="00293570"/>
    <w:rsid w:val="0029696D"/>
    <w:rsid w:val="002A05F8"/>
    <w:rsid w:val="002A675D"/>
    <w:rsid w:val="002A7AC1"/>
    <w:rsid w:val="002B078B"/>
    <w:rsid w:val="002B257C"/>
    <w:rsid w:val="002B6293"/>
    <w:rsid w:val="002B695A"/>
    <w:rsid w:val="002C0889"/>
    <w:rsid w:val="002E53A6"/>
    <w:rsid w:val="002E647C"/>
    <w:rsid w:val="002F4EDE"/>
    <w:rsid w:val="002F758C"/>
    <w:rsid w:val="00300242"/>
    <w:rsid w:val="003057F9"/>
    <w:rsid w:val="0031638A"/>
    <w:rsid w:val="003173DE"/>
    <w:rsid w:val="00327DD4"/>
    <w:rsid w:val="00334B73"/>
    <w:rsid w:val="00343216"/>
    <w:rsid w:val="003527BA"/>
    <w:rsid w:val="00370889"/>
    <w:rsid w:val="00383063"/>
    <w:rsid w:val="003A5644"/>
    <w:rsid w:val="003A5FC6"/>
    <w:rsid w:val="003B5555"/>
    <w:rsid w:val="003C1587"/>
    <w:rsid w:val="003C3F91"/>
    <w:rsid w:val="003C4C11"/>
    <w:rsid w:val="003C6FF7"/>
    <w:rsid w:val="003D10EA"/>
    <w:rsid w:val="003D19B4"/>
    <w:rsid w:val="003E5DD4"/>
    <w:rsid w:val="003F516A"/>
    <w:rsid w:val="00417AC5"/>
    <w:rsid w:val="0042476A"/>
    <w:rsid w:val="004358BF"/>
    <w:rsid w:val="004462A0"/>
    <w:rsid w:val="00446C5C"/>
    <w:rsid w:val="004548AC"/>
    <w:rsid w:val="00454C08"/>
    <w:rsid w:val="00466DFA"/>
    <w:rsid w:val="004706FF"/>
    <w:rsid w:val="00477EF0"/>
    <w:rsid w:val="00484294"/>
    <w:rsid w:val="004A27D8"/>
    <w:rsid w:val="004A7D6D"/>
    <w:rsid w:val="004C3DD6"/>
    <w:rsid w:val="004D6FC1"/>
    <w:rsid w:val="004D7A14"/>
    <w:rsid w:val="004E0601"/>
    <w:rsid w:val="004F45A0"/>
    <w:rsid w:val="004F550E"/>
    <w:rsid w:val="00500631"/>
    <w:rsid w:val="005145BE"/>
    <w:rsid w:val="00517981"/>
    <w:rsid w:val="00522A08"/>
    <w:rsid w:val="00526023"/>
    <w:rsid w:val="0052618B"/>
    <w:rsid w:val="00534586"/>
    <w:rsid w:val="00535846"/>
    <w:rsid w:val="0053694B"/>
    <w:rsid w:val="00540A0C"/>
    <w:rsid w:val="0054115B"/>
    <w:rsid w:val="00541730"/>
    <w:rsid w:val="005444AB"/>
    <w:rsid w:val="00544627"/>
    <w:rsid w:val="005512A9"/>
    <w:rsid w:val="005541FB"/>
    <w:rsid w:val="005577A8"/>
    <w:rsid w:val="005637BB"/>
    <w:rsid w:val="00563E0A"/>
    <w:rsid w:val="00572864"/>
    <w:rsid w:val="00572B4F"/>
    <w:rsid w:val="00574203"/>
    <w:rsid w:val="00575A01"/>
    <w:rsid w:val="00585841"/>
    <w:rsid w:val="0059013D"/>
    <w:rsid w:val="00595E69"/>
    <w:rsid w:val="00597C73"/>
    <w:rsid w:val="005A068E"/>
    <w:rsid w:val="005A1ABB"/>
    <w:rsid w:val="005A6F88"/>
    <w:rsid w:val="005B0D99"/>
    <w:rsid w:val="005B70F3"/>
    <w:rsid w:val="005E0E69"/>
    <w:rsid w:val="005E4BA9"/>
    <w:rsid w:val="005E65D6"/>
    <w:rsid w:val="00606B2E"/>
    <w:rsid w:val="00621A95"/>
    <w:rsid w:val="00627FEE"/>
    <w:rsid w:val="006309F2"/>
    <w:rsid w:val="006326BE"/>
    <w:rsid w:val="0063411F"/>
    <w:rsid w:val="00645A20"/>
    <w:rsid w:val="00670EFB"/>
    <w:rsid w:val="006743B9"/>
    <w:rsid w:val="00692698"/>
    <w:rsid w:val="00697F8C"/>
    <w:rsid w:val="006A15F6"/>
    <w:rsid w:val="006B18A2"/>
    <w:rsid w:val="006C35E0"/>
    <w:rsid w:val="006C3F58"/>
    <w:rsid w:val="006C60AC"/>
    <w:rsid w:val="006C6F55"/>
    <w:rsid w:val="006E2B03"/>
    <w:rsid w:val="006E529F"/>
    <w:rsid w:val="006F5342"/>
    <w:rsid w:val="00704438"/>
    <w:rsid w:val="0071217D"/>
    <w:rsid w:val="007168FF"/>
    <w:rsid w:val="007215E4"/>
    <w:rsid w:val="00722DDD"/>
    <w:rsid w:val="0072413B"/>
    <w:rsid w:val="007479BE"/>
    <w:rsid w:val="007503FC"/>
    <w:rsid w:val="00750DDC"/>
    <w:rsid w:val="00757792"/>
    <w:rsid w:val="00761448"/>
    <w:rsid w:val="00762EEF"/>
    <w:rsid w:val="00764696"/>
    <w:rsid w:val="00766860"/>
    <w:rsid w:val="00767831"/>
    <w:rsid w:val="00770A0B"/>
    <w:rsid w:val="0077428F"/>
    <w:rsid w:val="007937E7"/>
    <w:rsid w:val="007A11B7"/>
    <w:rsid w:val="007A13FE"/>
    <w:rsid w:val="007A420E"/>
    <w:rsid w:val="007B3501"/>
    <w:rsid w:val="007B5055"/>
    <w:rsid w:val="007C518C"/>
    <w:rsid w:val="007C5B18"/>
    <w:rsid w:val="007D5B68"/>
    <w:rsid w:val="007D64E0"/>
    <w:rsid w:val="007F13CD"/>
    <w:rsid w:val="00811BC1"/>
    <w:rsid w:val="00814842"/>
    <w:rsid w:val="00816D6E"/>
    <w:rsid w:val="00821859"/>
    <w:rsid w:val="008251C4"/>
    <w:rsid w:val="0083073F"/>
    <w:rsid w:val="00832433"/>
    <w:rsid w:val="00844780"/>
    <w:rsid w:val="00851B5A"/>
    <w:rsid w:val="00855F2F"/>
    <w:rsid w:val="00860BC6"/>
    <w:rsid w:val="00864287"/>
    <w:rsid w:val="00865E21"/>
    <w:rsid w:val="00866D95"/>
    <w:rsid w:val="00866FDF"/>
    <w:rsid w:val="00867BA2"/>
    <w:rsid w:val="0088595E"/>
    <w:rsid w:val="0089183C"/>
    <w:rsid w:val="008946F1"/>
    <w:rsid w:val="008A0C47"/>
    <w:rsid w:val="008A1F43"/>
    <w:rsid w:val="008C2E5C"/>
    <w:rsid w:val="008C4100"/>
    <w:rsid w:val="008D13E4"/>
    <w:rsid w:val="008E78C5"/>
    <w:rsid w:val="0090042F"/>
    <w:rsid w:val="00915C88"/>
    <w:rsid w:val="00937380"/>
    <w:rsid w:val="0094270C"/>
    <w:rsid w:val="00946E14"/>
    <w:rsid w:val="00955DCE"/>
    <w:rsid w:val="0096229C"/>
    <w:rsid w:val="00965015"/>
    <w:rsid w:val="00970C77"/>
    <w:rsid w:val="0097543F"/>
    <w:rsid w:val="00975969"/>
    <w:rsid w:val="009930DC"/>
    <w:rsid w:val="009C779A"/>
    <w:rsid w:val="009D260F"/>
    <w:rsid w:val="009D30FB"/>
    <w:rsid w:val="009D3E4B"/>
    <w:rsid w:val="009D64A9"/>
    <w:rsid w:val="009F3CC5"/>
    <w:rsid w:val="009F5B97"/>
    <w:rsid w:val="00A0012B"/>
    <w:rsid w:val="00A1192C"/>
    <w:rsid w:val="00A132E6"/>
    <w:rsid w:val="00A13989"/>
    <w:rsid w:val="00A13E9B"/>
    <w:rsid w:val="00A173CF"/>
    <w:rsid w:val="00A302DF"/>
    <w:rsid w:val="00A3137C"/>
    <w:rsid w:val="00A3289E"/>
    <w:rsid w:val="00A33F6D"/>
    <w:rsid w:val="00A57248"/>
    <w:rsid w:val="00A65F9C"/>
    <w:rsid w:val="00A66A71"/>
    <w:rsid w:val="00A70206"/>
    <w:rsid w:val="00A73F55"/>
    <w:rsid w:val="00A749FC"/>
    <w:rsid w:val="00A766E2"/>
    <w:rsid w:val="00A76CF2"/>
    <w:rsid w:val="00A81A87"/>
    <w:rsid w:val="00A84937"/>
    <w:rsid w:val="00A85BA5"/>
    <w:rsid w:val="00A953ED"/>
    <w:rsid w:val="00AA2A48"/>
    <w:rsid w:val="00AA5904"/>
    <w:rsid w:val="00AA611E"/>
    <w:rsid w:val="00AB7E5E"/>
    <w:rsid w:val="00AD2D9E"/>
    <w:rsid w:val="00AD3A5D"/>
    <w:rsid w:val="00AD4297"/>
    <w:rsid w:val="00AE0F00"/>
    <w:rsid w:val="00AE1670"/>
    <w:rsid w:val="00AE287F"/>
    <w:rsid w:val="00AF272D"/>
    <w:rsid w:val="00B007EC"/>
    <w:rsid w:val="00B03E8D"/>
    <w:rsid w:val="00B05460"/>
    <w:rsid w:val="00B152DD"/>
    <w:rsid w:val="00B16FAB"/>
    <w:rsid w:val="00B20011"/>
    <w:rsid w:val="00B20B6E"/>
    <w:rsid w:val="00B24024"/>
    <w:rsid w:val="00B25C52"/>
    <w:rsid w:val="00B33905"/>
    <w:rsid w:val="00B36389"/>
    <w:rsid w:val="00B4120C"/>
    <w:rsid w:val="00B4636A"/>
    <w:rsid w:val="00B50B70"/>
    <w:rsid w:val="00B56879"/>
    <w:rsid w:val="00B67B35"/>
    <w:rsid w:val="00BA25C4"/>
    <w:rsid w:val="00BA391B"/>
    <w:rsid w:val="00BC428B"/>
    <w:rsid w:val="00BE0CE0"/>
    <w:rsid w:val="00BE244D"/>
    <w:rsid w:val="00C101D2"/>
    <w:rsid w:val="00C141AF"/>
    <w:rsid w:val="00C14E5C"/>
    <w:rsid w:val="00C3681A"/>
    <w:rsid w:val="00C4346A"/>
    <w:rsid w:val="00C50026"/>
    <w:rsid w:val="00C55A9A"/>
    <w:rsid w:val="00C604B5"/>
    <w:rsid w:val="00C66D51"/>
    <w:rsid w:val="00C72825"/>
    <w:rsid w:val="00C7707D"/>
    <w:rsid w:val="00C80224"/>
    <w:rsid w:val="00C91F5E"/>
    <w:rsid w:val="00C9653F"/>
    <w:rsid w:val="00CA1FC9"/>
    <w:rsid w:val="00CA314C"/>
    <w:rsid w:val="00CA3545"/>
    <w:rsid w:val="00CB1B00"/>
    <w:rsid w:val="00CB3665"/>
    <w:rsid w:val="00CB3A2A"/>
    <w:rsid w:val="00CC2374"/>
    <w:rsid w:val="00CC2C5A"/>
    <w:rsid w:val="00CC7689"/>
    <w:rsid w:val="00CE0907"/>
    <w:rsid w:val="00CE104A"/>
    <w:rsid w:val="00CE267B"/>
    <w:rsid w:val="00CE5075"/>
    <w:rsid w:val="00CF3821"/>
    <w:rsid w:val="00D24734"/>
    <w:rsid w:val="00D313AF"/>
    <w:rsid w:val="00D34CBF"/>
    <w:rsid w:val="00D52CA5"/>
    <w:rsid w:val="00D542C9"/>
    <w:rsid w:val="00D60DA0"/>
    <w:rsid w:val="00D61FFA"/>
    <w:rsid w:val="00D63052"/>
    <w:rsid w:val="00D64C61"/>
    <w:rsid w:val="00D65931"/>
    <w:rsid w:val="00D66F73"/>
    <w:rsid w:val="00D70354"/>
    <w:rsid w:val="00D82BDE"/>
    <w:rsid w:val="00D8569E"/>
    <w:rsid w:val="00D86180"/>
    <w:rsid w:val="00D871DB"/>
    <w:rsid w:val="00D9534E"/>
    <w:rsid w:val="00DA3B5D"/>
    <w:rsid w:val="00DA6D6B"/>
    <w:rsid w:val="00DC75B1"/>
    <w:rsid w:val="00DD08D1"/>
    <w:rsid w:val="00DD1893"/>
    <w:rsid w:val="00DD5EC7"/>
    <w:rsid w:val="00DD6E93"/>
    <w:rsid w:val="00DE7BEA"/>
    <w:rsid w:val="00DF2045"/>
    <w:rsid w:val="00DF3FC5"/>
    <w:rsid w:val="00DF4DE0"/>
    <w:rsid w:val="00E050F2"/>
    <w:rsid w:val="00E053BB"/>
    <w:rsid w:val="00E05C7A"/>
    <w:rsid w:val="00E10F62"/>
    <w:rsid w:val="00E17EF4"/>
    <w:rsid w:val="00E30A24"/>
    <w:rsid w:val="00E30A5E"/>
    <w:rsid w:val="00E372B6"/>
    <w:rsid w:val="00E429B4"/>
    <w:rsid w:val="00E507C3"/>
    <w:rsid w:val="00E50C13"/>
    <w:rsid w:val="00E64398"/>
    <w:rsid w:val="00E64EB2"/>
    <w:rsid w:val="00E732BD"/>
    <w:rsid w:val="00E80F4F"/>
    <w:rsid w:val="00E83F4B"/>
    <w:rsid w:val="00E90529"/>
    <w:rsid w:val="00E94B1F"/>
    <w:rsid w:val="00E9666D"/>
    <w:rsid w:val="00EA0133"/>
    <w:rsid w:val="00EA7CAE"/>
    <w:rsid w:val="00EC45A5"/>
    <w:rsid w:val="00ED01C9"/>
    <w:rsid w:val="00ED0E14"/>
    <w:rsid w:val="00ED18EA"/>
    <w:rsid w:val="00ED5883"/>
    <w:rsid w:val="00ED7AB9"/>
    <w:rsid w:val="00EE0285"/>
    <w:rsid w:val="00EE0F45"/>
    <w:rsid w:val="00EE795E"/>
    <w:rsid w:val="00EF0EE4"/>
    <w:rsid w:val="00EF573E"/>
    <w:rsid w:val="00F00DFF"/>
    <w:rsid w:val="00F044D8"/>
    <w:rsid w:val="00F0724C"/>
    <w:rsid w:val="00F13FD6"/>
    <w:rsid w:val="00F15CD6"/>
    <w:rsid w:val="00F21976"/>
    <w:rsid w:val="00F2275F"/>
    <w:rsid w:val="00F23791"/>
    <w:rsid w:val="00F23F21"/>
    <w:rsid w:val="00F25B97"/>
    <w:rsid w:val="00F424DA"/>
    <w:rsid w:val="00F57847"/>
    <w:rsid w:val="00F612DD"/>
    <w:rsid w:val="00F77FF6"/>
    <w:rsid w:val="00F82BDF"/>
    <w:rsid w:val="00F940A7"/>
    <w:rsid w:val="00F95928"/>
    <w:rsid w:val="00FB3E05"/>
    <w:rsid w:val="00FB73BF"/>
    <w:rsid w:val="00FC6338"/>
    <w:rsid w:val="00FD1422"/>
    <w:rsid w:val="00FE02F5"/>
    <w:rsid w:val="00FE72D3"/>
    <w:rsid w:val="00FF5FFA"/>
    <w:rsid w:val="4B6602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spacing w:before="340" w:after="330"/>
      <w:outlineLvl w:val="0"/>
    </w:pPr>
    <w:rPr>
      <w:rFonts w:ascii="Times New Roman" w:hAnsi="Times New Roman" w:eastAsia="宋体"/>
      <w:b/>
      <w:bCs/>
      <w:kern w:val="44"/>
      <w:sz w:val="44"/>
      <w:szCs w:val="44"/>
    </w:rPr>
  </w:style>
  <w:style w:type="character" w:default="1" w:styleId="8">
    <w:name w:val="Default Paragraph Font"/>
    <w:autoRedefine/>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0"/>
    <w:pPr>
      <w:widowControl/>
      <w:spacing w:before="100" w:beforeAutospacing="1" w:after="100" w:afterAutospacing="1"/>
      <w:jc w:val="left"/>
    </w:pPr>
    <w:rPr>
      <w:rFonts w:ascii="宋体" w:hAnsi="宋体" w:eastAsia="宋体" w:cs="宋体"/>
      <w:color w:val="000000"/>
      <w:kern w:val="0"/>
      <w:sz w:val="24"/>
      <w:szCs w:val="24"/>
    </w:rPr>
  </w:style>
  <w:style w:type="character" w:customStyle="1" w:styleId="9">
    <w:name w:val="页眉 字符"/>
    <w:basedOn w:val="8"/>
    <w:link w:val="5"/>
    <w:uiPriority w:val="99"/>
    <w:rPr>
      <w:sz w:val="18"/>
      <w:szCs w:val="18"/>
    </w:rPr>
  </w:style>
  <w:style w:type="character" w:customStyle="1" w:styleId="10">
    <w:name w:val="页脚 字符"/>
    <w:basedOn w:val="8"/>
    <w:link w:val="4"/>
    <w:uiPriority w:val="99"/>
    <w:rPr>
      <w:sz w:val="18"/>
      <w:szCs w:val="18"/>
    </w:rPr>
  </w:style>
  <w:style w:type="character" w:customStyle="1" w:styleId="11">
    <w:name w:val="标题 1 字符"/>
    <w:basedOn w:val="8"/>
    <w:link w:val="2"/>
    <w:uiPriority w:val="9"/>
    <w:rPr>
      <w:rFonts w:ascii="Times New Roman" w:hAnsi="Times New Roman" w:eastAsia="宋体"/>
      <w:b/>
      <w:bCs/>
      <w:kern w:val="44"/>
      <w:sz w:val="44"/>
      <w:szCs w:val="44"/>
    </w:rPr>
  </w:style>
  <w:style w:type="paragraph" w:styleId="12">
    <w:name w:val="List Paragraph"/>
    <w:basedOn w:val="1"/>
    <w:qFormat/>
    <w:uiPriority w:val="34"/>
    <w:pPr>
      <w:spacing w:line="540" w:lineRule="exact"/>
      <w:ind w:firstLine="420" w:firstLineChars="200"/>
    </w:pPr>
    <w:rPr>
      <w:rFonts w:ascii="Times New Roman" w:hAnsi="Times New Roman" w:eastAsia="仿宋"/>
      <w:sz w:val="32"/>
    </w:rPr>
  </w:style>
  <w:style w:type="character" w:customStyle="1" w:styleId="13">
    <w:name w:val="批注框文本 字符"/>
    <w:basedOn w:val="8"/>
    <w:link w:val="3"/>
    <w:semiHidden/>
    <w:uiPriority w:val="99"/>
    <w:rPr>
      <w:sz w:val="18"/>
      <w:szCs w:val="18"/>
    </w:rPr>
  </w:style>
  <w:style w:type="paragraph" w:customStyle="1" w:styleId="14">
    <w:name w:val="列出段落1"/>
    <w:basedOn w:val="1"/>
    <w:unhideWhenUsed/>
    <w:qFormat/>
    <w:uiPriority w:val="99"/>
    <w:pPr>
      <w:ind w:firstLine="420" w:firstLineChars="200"/>
    </w:pPr>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760849-ADB0-4595-A21A-ABAC6F854C40}">
  <ds:schemaRefs/>
</ds:datastoreItem>
</file>

<file path=docProps/app.xml><?xml version="1.0" encoding="utf-8"?>
<Properties xmlns="http://schemas.openxmlformats.org/officeDocument/2006/extended-properties" xmlns:vt="http://schemas.openxmlformats.org/officeDocument/2006/docPropsVTypes">
  <Template>Normal</Template>
  <Pages>18</Pages>
  <Words>1171</Words>
  <Characters>6679</Characters>
  <Lines>55</Lines>
  <Paragraphs>15</Paragraphs>
  <TotalTime>195</TotalTime>
  <ScaleCrop>false</ScaleCrop>
  <LinksUpToDate>false</LinksUpToDate>
  <CharactersWithSpaces>7835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2017-06-26T08:34:00Z</dcterms:created>
  <dc:creator>赵冰:会签部门负责人</dc:creator>
  <cp:lastModifiedBy>杨亚会</cp:lastModifiedBy>
  <cp:lastPrinted>2017-06-27T09:59:00Z</cp:lastPrinted>
  <dcterms:modified xsi:type="dcterms:W3CDTF">2024-03-07T05:29:24Z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5F5FDA9613254365B8B5A15CE8C4C2CF_12</vt:lpwstr>
  </property>
</Properties>
</file>