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5386"/>
          <w:tab w:val="left" w:pos="5954"/>
          <w:tab w:val="left" w:pos="8445"/>
        </w:tabs>
        <w:spacing w:line="288" w:lineRule="auto"/>
        <w:jc w:val="center"/>
        <w:rPr>
          <w:rFonts w:asciiTheme="minorEastAsia" w:hAnsiTheme="minorEastAsia"/>
          <w:b/>
          <w:bCs/>
          <w:sz w:val="32"/>
          <w:szCs w:val="36"/>
        </w:rPr>
      </w:pPr>
      <w:bookmarkStart w:id="0" w:name="_GoBack"/>
      <w:bookmarkEnd w:id="0"/>
      <w:r>
        <w:rPr>
          <w:rFonts w:asciiTheme="minorEastAsia" w:hAnsiTheme="minorEastAsia"/>
          <w:b/>
          <w:bCs/>
          <w:sz w:val="32"/>
          <w:szCs w:val="36"/>
        </w:rPr>
        <w:t>直销</w:t>
      </w:r>
      <w:r>
        <w:rPr>
          <w:rFonts w:hint="eastAsia" w:asciiTheme="minorEastAsia" w:hAnsiTheme="minorEastAsia"/>
          <w:b/>
          <w:bCs/>
          <w:sz w:val="32"/>
          <w:szCs w:val="36"/>
        </w:rPr>
        <w:t>柜台</w:t>
      </w:r>
      <w:r>
        <w:rPr>
          <w:rFonts w:asciiTheme="minorEastAsia" w:hAnsiTheme="minorEastAsia"/>
          <w:b/>
          <w:bCs/>
          <w:sz w:val="32"/>
          <w:szCs w:val="36"/>
        </w:rPr>
        <w:t>业务指引（个人）</w:t>
      </w:r>
    </w:p>
    <w:p>
      <w:pPr>
        <w:spacing w:line="276" w:lineRule="auto"/>
        <w:ind w:right="-23" w:rightChars="-11"/>
        <w:jc w:val="left"/>
        <w:rPr>
          <w:rFonts w:ascii="宋体" w:hAnsi="宋体" w:eastAsia="宋体" w:cs="宋体"/>
          <w:b/>
          <w:color w:val="FF0000"/>
          <w:kern w:val="0"/>
          <w:sz w:val="24"/>
          <w:szCs w:val="24"/>
          <w:highlight w:val="yellow"/>
        </w:rPr>
      </w:pPr>
      <w:r>
        <w:rPr>
          <w:rFonts w:hint="eastAsia" w:ascii="宋体" w:hAnsi="宋体" w:eastAsia="宋体" w:cs="宋体"/>
          <w:b/>
          <w:color w:val="FF0000"/>
          <w:kern w:val="0"/>
          <w:sz w:val="24"/>
          <w:szCs w:val="24"/>
          <w:highlight w:val="yellow"/>
        </w:rPr>
        <w:t>特别提示：业务受理时间为交易日</w:t>
      </w:r>
      <w:r>
        <w:rPr>
          <w:rFonts w:hint="default" w:ascii="Times New Roman" w:hAnsi="Times New Roman" w:eastAsia="宋体" w:cs="Times New Roman"/>
          <w:b/>
          <w:color w:val="FF0000"/>
          <w:kern w:val="0"/>
          <w:sz w:val="24"/>
          <w:szCs w:val="24"/>
          <w:highlight w:val="yellow"/>
        </w:rPr>
        <w:t>9：30-15：00</w:t>
      </w:r>
      <w:r>
        <w:rPr>
          <w:rFonts w:hint="eastAsia" w:ascii="宋体" w:hAnsi="宋体" w:eastAsia="宋体" w:cs="宋体"/>
          <w:b/>
          <w:color w:val="FF0000"/>
          <w:kern w:val="0"/>
          <w:sz w:val="24"/>
          <w:szCs w:val="24"/>
          <w:highlight w:val="yellow"/>
        </w:rPr>
        <w:t>（认购申请当日同时提交开户申请，业务受理时间延长至当日</w:t>
      </w:r>
      <w:r>
        <w:rPr>
          <w:rFonts w:hint="default" w:ascii="Times New Roman" w:hAnsi="Times New Roman" w:eastAsia="宋体" w:cs="Times New Roman"/>
          <w:b/>
          <w:color w:val="FF0000"/>
          <w:kern w:val="0"/>
          <w:sz w:val="24"/>
          <w:szCs w:val="24"/>
          <w:highlight w:val="yellow"/>
        </w:rPr>
        <w:t>17</w:t>
      </w:r>
      <w:r>
        <w:rPr>
          <w:rFonts w:hint="eastAsia" w:ascii="宋体" w:hAnsi="宋体" w:eastAsia="宋体" w:cs="宋体"/>
          <w:b/>
          <w:color w:val="FF0000"/>
          <w:kern w:val="0"/>
          <w:sz w:val="24"/>
          <w:szCs w:val="24"/>
          <w:highlight w:val="yellow"/>
        </w:rPr>
        <w:t>：</w:t>
      </w:r>
      <w:r>
        <w:rPr>
          <w:rFonts w:hint="default" w:ascii="Times New Roman" w:hAnsi="Times New Roman" w:eastAsia="宋体" w:cs="Times New Roman"/>
          <w:b/>
          <w:color w:val="FF0000"/>
          <w:kern w:val="0"/>
          <w:sz w:val="24"/>
          <w:szCs w:val="24"/>
          <w:highlight w:val="yellow"/>
        </w:rPr>
        <w:t>00</w:t>
      </w:r>
      <w:r>
        <w:rPr>
          <w:rFonts w:hint="eastAsia" w:ascii="宋体" w:hAnsi="宋体" w:eastAsia="宋体" w:cs="宋体"/>
          <w:b/>
          <w:color w:val="FF0000"/>
          <w:kern w:val="0"/>
          <w:sz w:val="24"/>
          <w:szCs w:val="24"/>
          <w:highlight w:val="yellow"/>
        </w:rPr>
        <w:t>）。</w:t>
      </w:r>
    </w:p>
    <w:p>
      <w:pPr>
        <w:spacing w:line="312" w:lineRule="auto"/>
        <w:ind w:firstLine="426"/>
        <w:rPr>
          <w:rFonts w:ascii="宋体" w:hAnsi="宋体" w:eastAsia="宋体" w:cs="宋体"/>
          <w:b/>
          <w:kern w:val="0"/>
          <w:szCs w:val="21"/>
        </w:rPr>
      </w:pPr>
    </w:p>
    <w:p>
      <w:pPr>
        <w:spacing w:line="288" w:lineRule="auto"/>
        <w:ind w:firstLine="426"/>
        <w:rPr>
          <w:rFonts w:ascii="宋体" w:hAnsi="宋体" w:eastAsia="宋体" w:cs="宋体"/>
          <w:b/>
          <w:kern w:val="0"/>
          <w:sz w:val="24"/>
          <w:szCs w:val="24"/>
        </w:rPr>
      </w:pPr>
      <w:r>
        <w:rPr>
          <w:rFonts w:hint="eastAsia" w:ascii="宋体" w:hAnsi="宋体" w:eastAsia="宋体" w:cs="宋体"/>
          <w:b/>
          <w:kern w:val="0"/>
          <w:sz w:val="24"/>
          <w:szCs w:val="24"/>
        </w:rPr>
        <w:t>一、直销业务受理一般流程：</w:t>
      </w:r>
    </w:p>
    <w:p>
      <w:pPr>
        <w:spacing w:line="288" w:lineRule="auto"/>
        <w:ind w:firstLine="275" w:firstLineChars="131"/>
        <w:rPr>
          <w:rFonts w:ascii="宋体" w:hAnsi="宋体" w:eastAsia="宋体" w:cs="Times New Roman"/>
          <w:szCs w:val="21"/>
        </w:rPr>
      </w:pPr>
      <w:r>
        <w:rPr>
          <w:rFonts w:hint="eastAsia" w:ascii="宋体" w:hAnsi="宋体" w:eastAsia="宋体" w:cs="Times New Roman"/>
          <w:szCs w:val="21"/>
        </w:rPr>
        <w:t>（一）下载：投资者通过渤海汇金证券资产管理有限公司（以下简称“渤海汇金”或“本公司”）官网（</w:t>
      </w:r>
      <w:r>
        <w:rPr>
          <w:rFonts w:hint="default" w:ascii="Times New Roman" w:hAnsi="Times New Roman" w:cs="Times New Roman"/>
        </w:rPr>
        <w:t>www.bhhjamc.com</w:t>
      </w:r>
      <w:r>
        <w:rPr>
          <w:rFonts w:hint="eastAsia" w:ascii="宋体" w:hAnsi="宋体" w:eastAsia="宋体" w:cs="Times New Roman"/>
          <w:szCs w:val="21"/>
        </w:rPr>
        <w:t>）下载中心下载有关资料或向本公司员工索要相关资料。</w:t>
      </w:r>
    </w:p>
    <w:p>
      <w:pPr>
        <w:spacing w:line="288" w:lineRule="auto"/>
        <w:ind w:firstLine="275" w:firstLineChars="131"/>
        <w:rPr>
          <w:rFonts w:ascii="宋体" w:hAnsi="宋体" w:eastAsia="宋体" w:cs="Times New Roman"/>
          <w:szCs w:val="21"/>
        </w:rPr>
      </w:pPr>
      <w:r>
        <w:rPr>
          <w:rFonts w:hint="eastAsia" w:ascii="宋体" w:hAnsi="宋体" w:eastAsia="宋体" w:cs="Times New Roman"/>
          <w:szCs w:val="21"/>
        </w:rPr>
        <w:t>（二）阅读：投资者阅读《投资人权益须知》、《直销业务受理指引》等直销业务相关文件。</w:t>
      </w:r>
    </w:p>
    <w:p>
      <w:pPr>
        <w:spacing w:line="288" w:lineRule="auto"/>
        <w:ind w:firstLine="275" w:firstLineChars="131"/>
        <w:rPr>
          <w:rFonts w:ascii="宋体" w:hAnsi="宋体" w:eastAsia="宋体" w:cs="Times New Roman"/>
          <w:szCs w:val="21"/>
        </w:rPr>
      </w:pPr>
      <w:r>
        <w:rPr>
          <w:rFonts w:hint="eastAsia" w:ascii="宋体" w:hAnsi="宋体" w:eastAsia="宋体" w:cs="Times New Roman"/>
          <w:szCs w:val="21"/>
        </w:rPr>
        <w:t>（三）填单：投资者填写相关业务表单并提供相关证明材料。</w:t>
      </w:r>
    </w:p>
    <w:p>
      <w:pPr>
        <w:spacing w:line="288" w:lineRule="auto"/>
        <w:ind w:firstLine="275" w:firstLineChars="131"/>
        <w:rPr>
          <w:rFonts w:ascii="宋体" w:hAnsi="宋体" w:eastAsia="宋体" w:cs="Times New Roman"/>
          <w:szCs w:val="21"/>
        </w:rPr>
      </w:pPr>
      <w:r>
        <w:rPr>
          <w:rFonts w:hint="eastAsia" w:ascii="宋体" w:hAnsi="宋体" w:eastAsia="宋体" w:cs="Times New Roman"/>
          <w:szCs w:val="21"/>
        </w:rPr>
        <w:t>（四）认、申购业务：投资者申购资金须在提交申购申请当日</w:t>
      </w:r>
      <w:r>
        <w:rPr>
          <w:rFonts w:hint="default" w:ascii="Times New Roman" w:hAnsi="Times New Roman" w:cs="Times New Roman"/>
        </w:rPr>
        <w:t>15</w:t>
      </w:r>
      <w:r>
        <w:rPr>
          <w:rFonts w:hint="eastAsia"/>
        </w:rPr>
        <w:t>：</w:t>
      </w:r>
      <w:r>
        <w:rPr>
          <w:rFonts w:hint="default" w:ascii="Times New Roman" w:hAnsi="Times New Roman" w:cs="Times New Roman"/>
        </w:rPr>
        <w:t>00</w:t>
      </w:r>
      <w:r>
        <w:rPr>
          <w:rFonts w:hint="eastAsia" w:ascii="宋体" w:hAnsi="宋体" w:eastAsia="宋体" w:cs="Times New Roman"/>
          <w:szCs w:val="21"/>
        </w:rPr>
        <w:t>前足额交付并划入本公司指定直销专户；投资者认购资金须在提交认购申请当日</w:t>
      </w:r>
      <w:r>
        <w:rPr>
          <w:rFonts w:hint="default" w:ascii="Times New Roman" w:hAnsi="Times New Roman" w:cs="Times New Roman"/>
        </w:rPr>
        <w:t>17</w:t>
      </w:r>
      <w:r>
        <w:rPr>
          <w:rFonts w:hint="eastAsia"/>
        </w:rPr>
        <w:t>：</w:t>
      </w:r>
      <w:r>
        <w:rPr>
          <w:rFonts w:hint="default" w:ascii="Times New Roman" w:hAnsi="Times New Roman" w:cs="Times New Roman"/>
        </w:rPr>
        <w:t>00</w:t>
      </w:r>
      <w:r>
        <w:rPr>
          <w:rFonts w:hint="eastAsia" w:ascii="宋体" w:hAnsi="宋体" w:eastAsia="宋体" w:cs="Times New Roman"/>
          <w:szCs w:val="21"/>
        </w:rPr>
        <w:t>前足额交付并划入本公司指定直销专户，如认/申购款在规定时间内未交付，该交易申请无效。</w:t>
      </w:r>
    </w:p>
    <w:p>
      <w:pPr>
        <w:spacing w:line="288" w:lineRule="auto"/>
        <w:ind w:firstLine="275" w:firstLineChars="131"/>
        <w:rPr>
          <w:rFonts w:ascii="宋体" w:hAnsi="宋体" w:eastAsia="宋体" w:cs="宋体"/>
          <w:b/>
          <w:kern w:val="0"/>
          <w:szCs w:val="21"/>
        </w:rPr>
      </w:pPr>
      <w:r>
        <w:rPr>
          <w:rFonts w:hint="eastAsia" w:ascii="宋体" w:hAnsi="宋体" w:eastAsia="宋体" w:cs="Times New Roman"/>
          <w:bCs/>
          <w:szCs w:val="21"/>
        </w:rPr>
        <w:t>（五）业务确认：本公司根据客户需求在</w:t>
      </w:r>
      <w:r>
        <w:rPr>
          <w:rFonts w:hint="default" w:ascii="Times New Roman" w:hAnsi="Times New Roman" w:cs="Times New Roman"/>
        </w:rPr>
        <w:t>T</w:t>
      </w:r>
      <w:r>
        <w:rPr>
          <w:rFonts w:hint="eastAsia"/>
        </w:rPr>
        <w:t>+</w:t>
      </w:r>
      <w:r>
        <w:rPr>
          <w:rFonts w:hint="default" w:ascii="Times New Roman" w:hAnsi="Times New Roman" w:cs="Times New Roman"/>
        </w:rPr>
        <w:t>2</w:t>
      </w:r>
      <w:r>
        <w:rPr>
          <w:rFonts w:hint="eastAsia" w:ascii="宋体" w:hAnsi="宋体" w:eastAsia="宋体" w:cs="Times New Roman"/>
          <w:bCs/>
          <w:szCs w:val="21"/>
        </w:rPr>
        <w:t>工作日内将业务确认单以传真、电子邮件、邮寄或与客户达成一致的方式发送给投资者，投资者也可通过本公司客服电话或直销专线查询确认结果。</w:t>
      </w:r>
    </w:p>
    <w:p>
      <w:pPr>
        <w:widowControl/>
        <w:spacing w:line="288" w:lineRule="auto"/>
        <w:ind w:firstLine="422" w:firstLineChars="200"/>
        <w:jc w:val="left"/>
        <w:rPr>
          <w:rFonts w:ascii="宋体" w:hAnsi="宋体" w:eastAsia="宋体" w:cs="宋体"/>
          <w:b/>
          <w:kern w:val="0"/>
          <w:szCs w:val="21"/>
        </w:rPr>
      </w:pPr>
    </w:p>
    <w:p>
      <w:pPr>
        <w:widowControl/>
        <w:spacing w:line="288" w:lineRule="auto"/>
        <w:ind w:firstLine="482" w:firstLineChars="200"/>
        <w:jc w:val="left"/>
        <w:rPr>
          <w:rFonts w:ascii="宋体" w:hAnsi="宋体" w:eastAsia="宋体" w:cs="宋体"/>
          <w:b/>
          <w:sz w:val="24"/>
          <w:szCs w:val="24"/>
        </w:rPr>
      </w:pPr>
      <w:r>
        <w:rPr>
          <w:rFonts w:hint="eastAsia" w:ascii="宋体" w:hAnsi="宋体" w:eastAsia="宋体" w:cs="宋体"/>
          <w:b/>
          <w:kern w:val="0"/>
          <w:sz w:val="24"/>
          <w:szCs w:val="24"/>
        </w:rPr>
        <w:t>二、开户业务：</w:t>
      </w:r>
      <w:r>
        <w:rPr>
          <w:rFonts w:hint="eastAsia" w:ascii="宋体" w:hAnsi="宋体" w:eastAsia="宋体" w:cs="宋体"/>
          <w:b/>
          <w:sz w:val="24"/>
          <w:szCs w:val="24"/>
        </w:rPr>
        <w:t>须提供按要求签字的以下证明材料的复印件和已填妥表单</w:t>
      </w:r>
    </w:p>
    <w:tbl>
      <w:tblPr>
        <w:tblStyle w:val="5"/>
        <w:tblW w:w="10201" w:type="dxa"/>
        <w:jc w:val="center"/>
        <w:tblLayout w:type="autofit"/>
        <w:tblCellMar>
          <w:top w:w="0" w:type="dxa"/>
          <w:left w:w="108" w:type="dxa"/>
          <w:bottom w:w="0" w:type="dxa"/>
          <w:right w:w="108" w:type="dxa"/>
        </w:tblCellMar>
      </w:tblPr>
      <w:tblGrid>
        <w:gridCol w:w="3964"/>
        <w:gridCol w:w="6237"/>
      </w:tblGrid>
      <w:tr>
        <w:tblPrEx>
          <w:tblCellMar>
            <w:top w:w="0" w:type="dxa"/>
            <w:left w:w="108" w:type="dxa"/>
            <w:bottom w:w="0" w:type="dxa"/>
            <w:right w:w="108" w:type="dxa"/>
          </w:tblCellMar>
        </w:tblPrEx>
        <w:trPr>
          <w:trHeight w:val="300"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8" w:lineRule="auto"/>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资料清单</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widowControl/>
              <w:spacing w:line="288" w:lineRule="auto"/>
              <w:jc w:val="center"/>
              <w:rPr>
                <w:rFonts w:cs="宋体" w:asciiTheme="minorEastAsia" w:hAnsiTheme="minorEastAsia"/>
                <w:b/>
                <w:bCs/>
                <w:color w:val="000000"/>
                <w:kern w:val="0"/>
                <w:szCs w:val="21"/>
              </w:rPr>
            </w:pPr>
            <w:r>
              <w:rPr>
                <w:rFonts w:hint="eastAsia" w:cs="宋体" w:asciiTheme="minorEastAsia" w:hAnsiTheme="minorEastAsia"/>
                <w:b/>
                <w:bCs/>
                <w:color w:val="000000"/>
                <w:kern w:val="0"/>
                <w:szCs w:val="21"/>
              </w:rPr>
              <w:t>文件说明</w:t>
            </w:r>
          </w:p>
        </w:tc>
      </w:tr>
      <w:tr>
        <w:tblPrEx>
          <w:tblCellMar>
            <w:top w:w="0" w:type="dxa"/>
            <w:left w:w="108" w:type="dxa"/>
            <w:bottom w:w="0" w:type="dxa"/>
            <w:right w:w="108" w:type="dxa"/>
          </w:tblCellMar>
        </w:tblPrEx>
        <w:trPr>
          <w:trHeight w:val="300"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1</w:t>
            </w:r>
            <w:r>
              <w:rPr>
                <w:rFonts w:cs="宋体" w:asciiTheme="minorEastAsia" w:hAnsiTheme="minorEastAsia"/>
                <w:color w:val="000000"/>
                <w:kern w:val="0"/>
                <w:szCs w:val="21"/>
              </w:rPr>
              <w:t>.身份</w:t>
            </w:r>
            <w:r>
              <w:rPr>
                <w:rFonts w:hint="eastAsia" w:cs="宋体" w:asciiTheme="minorEastAsia" w:hAnsiTheme="minorEastAsia"/>
                <w:color w:val="000000"/>
                <w:kern w:val="0"/>
                <w:szCs w:val="21"/>
              </w:rPr>
              <w:t>证明文件</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提供复印件，出示原件</w:t>
            </w:r>
          </w:p>
        </w:tc>
      </w:tr>
      <w:tr>
        <w:tblPrEx>
          <w:tblCellMar>
            <w:top w:w="0" w:type="dxa"/>
            <w:left w:w="108" w:type="dxa"/>
            <w:bottom w:w="0" w:type="dxa"/>
            <w:right w:w="108" w:type="dxa"/>
          </w:tblCellMar>
        </w:tblPrEx>
        <w:trPr>
          <w:trHeight w:val="300" w:hRule="atLeast"/>
          <w:jc w:val="center"/>
        </w:trPr>
        <w:tc>
          <w:tcPr>
            <w:tcW w:w="396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2</w:t>
            </w:r>
            <w:r>
              <w:rPr>
                <w:rFonts w:cs="宋体" w:asciiTheme="minorEastAsia" w:hAnsiTheme="minorEastAsia"/>
                <w:color w:val="000000"/>
                <w:kern w:val="0"/>
                <w:szCs w:val="21"/>
              </w:rPr>
              <w:t>.银行卡或存折</w:t>
            </w:r>
          </w:p>
        </w:tc>
        <w:tc>
          <w:tcPr>
            <w:tcW w:w="6237" w:type="dxa"/>
            <w:tcBorders>
              <w:top w:val="single" w:color="auto" w:sz="4" w:space="0"/>
              <w:left w:val="nil"/>
              <w:bottom w:val="single" w:color="auto" w:sz="4" w:space="0"/>
              <w:right w:val="single" w:color="auto" w:sz="4" w:space="0"/>
            </w:tcBorders>
            <w:shd w:val="clear" w:color="auto" w:fill="auto"/>
            <w:noWrap/>
            <w:vAlign w:val="center"/>
          </w:tcPr>
          <w:p>
            <w:pPr>
              <w:spacing w:line="276" w:lineRule="auto"/>
              <w:rPr>
                <w:rFonts w:ascii="宋体" w:hAnsi="宋体" w:eastAsia="宋体" w:cs="Times New Roman"/>
                <w:color w:val="000000"/>
                <w:szCs w:val="21"/>
              </w:rPr>
            </w:pPr>
            <w:r>
              <w:rPr>
                <w:rFonts w:ascii="宋体" w:hAnsi="宋体" w:eastAsia="宋体" w:cs="Times New Roman"/>
                <w:color w:val="000000"/>
                <w:szCs w:val="21"/>
              </w:rPr>
              <w:t>在</w:t>
            </w:r>
            <w:r>
              <w:rPr>
                <w:rFonts w:hint="eastAsia" w:ascii="宋体" w:hAnsi="宋体" w:eastAsia="宋体" w:cs="Times New Roman"/>
                <w:color w:val="000000"/>
                <w:szCs w:val="21"/>
              </w:rPr>
              <w:t>复印件标明银行账户信息（账号、户名），须与</w:t>
            </w:r>
            <w:r>
              <w:rPr>
                <w:rFonts w:cs="宋体" w:asciiTheme="minorEastAsia" w:hAnsiTheme="minorEastAsia"/>
                <w:color w:val="000000"/>
                <w:kern w:val="0"/>
                <w:szCs w:val="21"/>
              </w:rPr>
              <w:t>《账户业务申请表》</w:t>
            </w:r>
            <w:r>
              <w:rPr>
                <w:rFonts w:hint="eastAsia" w:cs="宋体" w:asciiTheme="minorEastAsia" w:hAnsiTheme="minorEastAsia"/>
                <w:color w:val="000000"/>
                <w:kern w:val="0"/>
                <w:szCs w:val="21"/>
              </w:rPr>
              <w:t>所填信息</w:t>
            </w:r>
            <w:r>
              <w:rPr>
                <w:rFonts w:cs="宋体" w:asciiTheme="minorEastAsia" w:hAnsiTheme="minorEastAsia"/>
                <w:color w:val="000000"/>
                <w:kern w:val="0"/>
                <w:szCs w:val="21"/>
              </w:rPr>
              <w:t>一致</w:t>
            </w:r>
          </w:p>
        </w:tc>
      </w:tr>
      <w:tr>
        <w:tblPrEx>
          <w:tblCellMar>
            <w:top w:w="0" w:type="dxa"/>
            <w:left w:w="108" w:type="dxa"/>
            <w:bottom w:w="0" w:type="dxa"/>
            <w:right w:w="108" w:type="dxa"/>
          </w:tblCellMar>
        </w:tblPrEx>
        <w:trPr>
          <w:trHeight w:val="27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3</w:t>
            </w:r>
            <w:r>
              <w:rPr>
                <w:rFonts w:cs="宋体" w:asciiTheme="minorEastAsia" w:hAnsiTheme="minorEastAsia"/>
                <w:color w:val="000000"/>
                <w:kern w:val="0"/>
                <w:szCs w:val="21"/>
              </w:rPr>
              <w:t>.《账户业务申请表》</w:t>
            </w:r>
            <w:r>
              <w:rPr>
                <w:rFonts w:hint="eastAsia" w:cs="宋体" w:asciiTheme="minorEastAsia" w:hAnsiTheme="minorEastAsia"/>
                <w:color w:val="000000"/>
                <w:kern w:val="0"/>
                <w:szCs w:val="21"/>
              </w:rPr>
              <w:t>-个人版</w:t>
            </w:r>
          </w:p>
        </w:tc>
        <w:tc>
          <w:tcPr>
            <w:tcW w:w="6237" w:type="dxa"/>
            <w:tcBorders>
              <w:top w:val="nil"/>
              <w:left w:val="nil"/>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cs="宋体" w:asciiTheme="minorEastAsia" w:hAnsiTheme="minorEastAsia"/>
                <w:color w:val="000000"/>
                <w:kern w:val="0"/>
                <w:szCs w:val="21"/>
              </w:rPr>
              <w:t>本人签字</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4</w:t>
            </w:r>
            <w:r>
              <w:rPr>
                <w:rFonts w:cs="宋体" w:asciiTheme="minorEastAsia" w:hAnsiTheme="minorEastAsia"/>
                <w:color w:val="000000"/>
                <w:kern w:val="0"/>
                <w:szCs w:val="21"/>
              </w:rPr>
              <w:t>.</w:t>
            </w:r>
            <w:r>
              <w:rPr>
                <w:rFonts w:hint="eastAsia" w:ascii="宋体" w:hAnsi="宋体" w:eastAsia="宋体" w:cs="宋体"/>
                <w:kern w:val="0"/>
                <w:szCs w:val="21"/>
              </w:rPr>
              <w:t>《投资人风险承受能力评估问卷（个人）》及《普通投资者风险承受能力评估结果及适当性匹配确认书》</w:t>
            </w:r>
          </w:p>
        </w:tc>
        <w:tc>
          <w:tcPr>
            <w:tcW w:w="6237" w:type="dxa"/>
            <w:tcBorders>
              <w:top w:val="nil"/>
              <w:left w:val="nil"/>
              <w:bottom w:val="single" w:color="auto" w:sz="4" w:space="0"/>
              <w:right w:val="single" w:color="auto" w:sz="4" w:space="0"/>
            </w:tcBorders>
            <w:shd w:val="clear" w:color="auto" w:fill="auto"/>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hint="eastAsia" w:cs="宋体" w:asciiTheme="minorEastAsia" w:hAnsiTheme="minorEastAsia"/>
                <w:color w:val="000000"/>
                <w:kern w:val="0"/>
                <w:szCs w:val="21"/>
              </w:rPr>
              <w:t>.</w:t>
            </w:r>
            <w:r>
              <w:rPr>
                <w:rFonts w:hint="eastAsia" w:cs="宋体" w:asciiTheme="minorEastAsia" w:hAnsiTheme="minorEastAsia"/>
                <w:color w:val="FF0000"/>
                <w:kern w:val="0"/>
                <w:szCs w:val="21"/>
              </w:rPr>
              <w:t>仅普通投资者提供</w:t>
            </w:r>
          </w:p>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2</w:t>
            </w:r>
            <w:r>
              <w:rPr>
                <w:rFonts w:cs="宋体" w:asciiTheme="minorEastAsia" w:hAnsiTheme="minorEastAsia"/>
                <w:color w:val="000000"/>
                <w:kern w:val="0"/>
                <w:szCs w:val="21"/>
              </w:rPr>
              <w:t>.本人签字</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5</w:t>
            </w:r>
            <w:r>
              <w:rPr>
                <w:rFonts w:hint="eastAsia" w:cs="宋体" w:asciiTheme="minorEastAsia" w:hAnsiTheme="minorEastAsia"/>
                <w:color w:val="000000"/>
                <w:kern w:val="0"/>
                <w:szCs w:val="21"/>
              </w:rPr>
              <w:t>.《专业投资者申请表》及相关证明材料</w:t>
            </w:r>
          </w:p>
        </w:tc>
        <w:tc>
          <w:tcPr>
            <w:tcW w:w="6237" w:type="dxa"/>
            <w:tcBorders>
              <w:top w:val="nil"/>
              <w:left w:val="nil"/>
              <w:bottom w:val="single" w:color="auto" w:sz="4" w:space="0"/>
              <w:right w:val="single" w:color="auto" w:sz="4" w:space="0"/>
            </w:tcBorders>
            <w:shd w:val="clear" w:color="auto" w:fill="auto"/>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hint="eastAsia" w:cs="宋体" w:asciiTheme="minorEastAsia" w:hAnsiTheme="minorEastAsia"/>
                <w:color w:val="000000"/>
                <w:kern w:val="0"/>
                <w:szCs w:val="21"/>
              </w:rPr>
              <w:t>.</w:t>
            </w:r>
            <w:r>
              <w:rPr>
                <w:rFonts w:hint="eastAsia" w:cs="宋体" w:asciiTheme="minorEastAsia" w:hAnsiTheme="minorEastAsia"/>
                <w:color w:val="FF0000"/>
                <w:kern w:val="0"/>
                <w:szCs w:val="21"/>
              </w:rPr>
              <w:t>仅申请专业投资者提供</w:t>
            </w:r>
          </w:p>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2</w:t>
            </w:r>
            <w:r>
              <w:rPr>
                <w:rFonts w:cs="宋体" w:asciiTheme="minorEastAsia" w:hAnsiTheme="minorEastAsia"/>
                <w:color w:val="000000"/>
                <w:kern w:val="0"/>
                <w:szCs w:val="21"/>
              </w:rPr>
              <w:t>.本人签字</w:t>
            </w:r>
          </w:p>
        </w:tc>
      </w:tr>
      <w:tr>
        <w:tblPrEx>
          <w:tblCellMar>
            <w:top w:w="0" w:type="dxa"/>
            <w:left w:w="108" w:type="dxa"/>
            <w:bottom w:w="0" w:type="dxa"/>
            <w:right w:w="108" w:type="dxa"/>
          </w:tblCellMar>
        </w:tblPrEx>
        <w:trPr>
          <w:trHeight w:val="300" w:hRule="atLeast"/>
          <w:jc w:val="center"/>
        </w:trPr>
        <w:tc>
          <w:tcPr>
            <w:tcW w:w="3964" w:type="dxa"/>
            <w:tcBorders>
              <w:top w:val="nil"/>
              <w:left w:val="single" w:color="auto" w:sz="4" w:space="0"/>
              <w:bottom w:val="single" w:color="auto" w:sz="4" w:space="0"/>
              <w:right w:val="single" w:color="auto" w:sz="4" w:space="0"/>
            </w:tcBorders>
            <w:shd w:val="clear" w:color="auto" w:fill="auto"/>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6</w:t>
            </w:r>
            <w:r>
              <w:rPr>
                <w:rFonts w:hint="eastAsia" w:cs="宋体" w:asciiTheme="minorEastAsia" w:hAnsiTheme="minorEastAsia"/>
                <w:color w:val="000000"/>
                <w:kern w:val="0"/>
                <w:szCs w:val="21"/>
              </w:rPr>
              <w:t>.</w:t>
            </w:r>
            <w:r>
              <w:rPr>
                <w:rFonts w:cs="宋体" w:asciiTheme="minorEastAsia" w:hAnsiTheme="minorEastAsia"/>
                <w:color w:val="000000"/>
                <w:kern w:val="0"/>
                <w:szCs w:val="21"/>
              </w:rPr>
              <w:t>《投资人权益须知》</w:t>
            </w:r>
          </w:p>
        </w:tc>
        <w:tc>
          <w:tcPr>
            <w:tcW w:w="6237" w:type="dxa"/>
            <w:tcBorders>
              <w:top w:val="nil"/>
              <w:left w:val="nil"/>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cs="宋体" w:asciiTheme="minorEastAsia" w:hAnsiTheme="minorEastAsia"/>
                <w:color w:val="000000"/>
                <w:kern w:val="0"/>
                <w:szCs w:val="21"/>
              </w:rPr>
              <w:t>本人签字</w:t>
            </w:r>
          </w:p>
        </w:tc>
      </w:tr>
      <w:tr>
        <w:tblPrEx>
          <w:tblCellMar>
            <w:top w:w="0" w:type="dxa"/>
            <w:left w:w="108" w:type="dxa"/>
            <w:bottom w:w="0" w:type="dxa"/>
            <w:right w:w="108" w:type="dxa"/>
          </w:tblCellMar>
        </w:tblPrEx>
        <w:trPr>
          <w:trHeight w:val="461"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7</w:t>
            </w:r>
            <w:r>
              <w:rPr>
                <w:rFonts w:cs="宋体" w:asciiTheme="minorEastAsia" w:hAnsiTheme="minorEastAsia"/>
                <w:color w:val="000000"/>
                <w:kern w:val="0"/>
                <w:szCs w:val="21"/>
              </w:rPr>
              <w:t>.《个人税收居民身份声明文件》</w:t>
            </w:r>
          </w:p>
        </w:tc>
        <w:tc>
          <w:tcPr>
            <w:tcW w:w="6237" w:type="dxa"/>
            <w:tcBorders>
              <w:top w:val="nil"/>
              <w:left w:val="nil"/>
              <w:bottom w:val="single" w:color="auto" w:sz="4" w:space="0"/>
              <w:right w:val="single" w:color="auto" w:sz="4" w:space="0"/>
            </w:tcBorders>
            <w:shd w:val="clear" w:color="auto" w:fill="auto"/>
            <w:vAlign w:val="center"/>
          </w:tcPr>
          <w:p>
            <w:pPr>
              <w:widowControl/>
              <w:spacing w:line="288" w:lineRule="auto"/>
              <w:jc w:val="left"/>
              <w:rPr>
                <w:rFonts w:cs="宋体" w:asciiTheme="minorEastAsia" w:hAnsiTheme="minorEastAsia"/>
                <w:color w:val="FF0000"/>
                <w:kern w:val="0"/>
                <w:szCs w:val="21"/>
              </w:rPr>
            </w:pPr>
            <w:r>
              <w:rPr>
                <w:rFonts w:ascii="Times New Roman" w:hAnsi="Times New Roman" w:cs="Times New Roman"/>
                <w:color w:val="000000"/>
                <w:kern w:val="0"/>
                <w:szCs w:val="21"/>
              </w:rPr>
              <w:t>1</w:t>
            </w:r>
            <w:r>
              <w:rPr>
                <w:rFonts w:cs="宋体" w:asciiTheme="minorEastAsia" w:hAnsiTheme="minorEastAsia"/>
                <w:color w:val="000000"/>
                <w:kern w:val="0"/>
                <w:szCs w:val="21"/>
              </w:rPr>
              <w:t>.</w:t>
            </w:r>
            <w:r>
              <w:rPr>
                <w:rFonts w:hint="eastAsia" w:cs="宋体" w:asciiTheme="minorEastAsia" w:hAnsiTheme="minorEastAsia"/>
                <w:color w:val="000000"/>
                <w:kern w:val="0"/>
                <w:szCs w:val="21"/>
              </w:rPr>
              <w:t>仅为中国税收居民</w:t>
            </w:r>
            <w:r>
              <w:rPr>
                <w:rFonts w:hint="eastAsia" w:cs="宋体" w:asciiTheme="minorEastAsia" w:hAnsiTheme="minorEastAsia"/>
                <w:color w:val="FF0000"/>
                <w:kern w:val="0"/>
                <w:szCs w:val="21"/>
              </w:rPr>
              <w:t>无需填写</w:t>
            </w:r>
          </w:p>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2</w:t>
            </w:r>
            <w:r>
              <w:rPr>
                <w:rFonts w:cs="宋体" w:asciiTheme="minorEastAsia" w:hAnsiTheme="minorEastAsia"/>
                <w:color w:val="000000"/>
                <w:kern w:val="0"/>
                <w:szCs w:val="21"/>
              </w:rPr>
              <w:t>.本人签字</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8</w:t>
            </w:r>
            <w:r>
              <w:rPr>
                <w:rFonts w:cs="宋体" w:asciiTheme="minorEastAsia" w:hAnsiTheme="minorEastAsia"/>
                <w:color w:val="000000"/>
                <w:kern w:val="0"/>
                <w:szCs w:val="21"/>
              </w:rPr>
              <w:t>.《</w:t>
            </w:r>
            <w:r>
              <w:rPr>
                <w:rFonts w:hint="eastAsia" w:cs="宋体" w:asciiTheme="minorEastAsia" w:hAnsiTheme="minorEastAsia"/>
                <w:color w:val="000000"/>
                <w:kern w:val="0"/>
                <w:szCs w:val="21"/>
              </w:rPr>
              <w:t>个人客户身份识别信息表</w:t>
            </w:r>
            <w:r>
              <w:rPr>
                <w:rFonts w:cs="宋体" w:asciiTheme="minorEastAsia" w:hAnsiTheme="minorEastAsia"/>
                <w:color w:val="000000"/>
                <w:kern w:val="0"/>
                <w:szCs w:val="21"/>
              </w:rPr>
              <w:t>》</w:t>
            </w:r>
          </w:p>
        </w:tc>
        <w:tc>
          <w:tcPr>
            <w:tcW w:w="6237" w:type="dxa"/>
            <w:tcBorders>
              <w:top w:val="nil"/>
              <w:left w:val="nil"/>
              <w:bottom w:val="single" w:color="auto" w:sz="4" w:space="0"/>
              <w:right w:val="single" w:color="auto" w:sz="4" w:space="0"/>
            </w:tcBorders>
            <w:shd w:val="clear" w:color="auto" w:fill="auto"/>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cs="宋体" w:asciiTheme="minorEastAsia" w:hAnsiTheme="minorEastAsia"/>
                <w:color w:val="000000"/>
                <w:kern w:val="0"/>
                <w:szCs w:val="21"/>
              </w:rPr>
              <w:t>.</w:t>
            </w:r>
            <w:r>
              <w:rPr>
                <w:rFonts w:hint="eastAsia"/>
                <w:color w:val="FF0000"/>
              </w:rPr>
              <w:t>仅</w:t>
            </w:r>
            <w:r>
              <w:rPr>
                <w:rFonts w:hint="eastAsia" w:cs="宋体" w:asciiTheme="minorEastAsia" w:hAnsiTheme="minorEastAsia"/>
                <w:color w:val="FF0000"/>
                <w:kern w:val="0"/>
                <w:szCs w:val="21"/>
              </w:rPr>
              <w:t>实际控制投资者的自然人或交易的实际受益人非本人时提供</w:t>
            </w:r>
          </w:p>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cs="宋体" w:asciiTheme="minorEastAsia" w:hAnsiTheme="minorEastAsia"/>
                <w:color w:val="000000"/>
                <w:kern w:val="0"/>
                <w:szCs w:val="21"/>
              </w:rPr>
              <w:t>.本人签字</w:t>
            </w:r>
          </w:p>
        </w:tc>
      </w:tr>
      <w:tr>
        <w:tblPrEx>
          <w:tblCellMar>
            <w:top w:w="0" w:type="dxa"/>
            <w:left w:w="108" w:type="dxa"/>
            <w:bottom w:w="0" w:type="dxa"/>
            <w:right w:w="108" w:type="dxa"/>
          </w:tblCellMar>
        </w:tblPrEx>
        <w:trPr>
          <w:trHeight w:val="55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ascii="宋体" w:hAnsi="宋体" w:eastAsia="宋体" w:cs="宋体"/>
                <w:kern w:val="0"/>
                <w:szCs w:val="21"/>
              </w:rPr>
            </w:pPr>
            <w:r>
              <w:rPr>
                <w:rFonts w:hint="default" w:ascii="Times New Roman" w:hAnsi="Times New Roman" w:eastAsia="宋体" w:cs="Times New Roman"/>
                <w:kern w:val="0"/>
                <w:szCs w:val="21"/>
              </w:rPr>
              <w:t>9</w:t>
            </w:r>
            <w:r>
              <w:rPr>
                <w:rFonts w:ascii="宋体" w:hAnsi="宋体" w:eastAsia="宋体" w:cs="宋体"/>
                <w:kern w:val="0"/>
                <w:szCs w:val="21"/>
              </w:rPr>
              <w:t>.</w:t>
            </w:r>
            <w:r>
              <w:rPr>
                <w:rFonts w:hint="eastAsia" w:ascii="宋体" w:hAnsi="宋体" w:eastAsia="宋体" w:cs="宋体"/>
                <w:kern w:val="0"/>
                <w:szCs w:val="21"/>
              </w:rPr>
              <w:t>《集合资产管理计划电子签名约定书》（一式两份）</w:t>
            </w:r>
          </w:p>
        </w:tc>
        <w:tc>
          <w:tcPr>
            <w:tcW w:w="6237" w:type="dxa"/>
            <w:tcBorders>
              <w:top w:val="nil"/>
              <w:left w:val="nil"/>
              <w:bottom w:val="single" w:color="auto" w:sz="4" w:space="0"/>
              <w:right w:val="single" w:color="auto" w:sz="4" w:space="0"/>
            </w:tcBorders>
            <w:shd w:val="clear" w:color="auto" w:fill="auto"/>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cs="宋体" w:asciiTheme="minorEastAsia" w:hAnsiTheme="minorEastAsia"/>
                <w:color w:val="000000"/>
                <w:kern w:val="0"/>
                <w:szCs w:val="21"/>
              </w:rPr>
              <w:t>.</w:t>
            </w:r>
            <w:r>
              <w:rPr>
                <w:rFonts w:cs="宋体" w:asciiTheme="minorEastAsia" w:hAnsiTheme="minorEastAsia"/>
                <w:color w:val="FF0000"/>
                <w:kern w:val="0"/>
                <w:szCs w:val="21"/>
              </w:rPr>
              <w:t>仅购买集合资产管理计划提供</w:t>
            </w:r>
          </w:p>
          <w:p>
            <w:pPr>
              <w:widowControl/>
              <w:spacing w:line="288" w:lineRule="auto"/>
              <w:jc w:val="left"/>
              <w:rPr>
                <w:rFonts w:cs="宋体" w:asciiTheme="minorEastAsia" w:hAnsiTheme="minorEastAsia"/>
                <w:color w:val="000000"/>
                <w:kern w:val="0"/>
                <w:szCs w:val="21"/>
              </w:rPr>
            </w:pPr>
            <w:r>
              <w:rPr>
                <w:rFonts w:ascii="Times New Roman" w:hAnsi="Times New Roman" w:cs="Times New Roman"/>
                <w:color w:val="000000"/>
                <w:kern w:val="0"/>
                <w:szCs w:val="21"/>
              </w:rPr>
              <w:t>2</w:t>
            </w:r>
            <w:r>
              <w:rPr>
                <w:rFonts w:cs="宋体" w:asciiTheme="minorEastAsia" w:hAnsiTheme="minorEastAsia"/>
                <w:color w:val="000000"/>
                <w:kern w:val="0"/>
                <w:szCs w:val="21"/>
              </w:rPr>
              <w:t>.本人签字</w:t>
            </w:r>
          </w:p>
        </w:tc>
      </w:tr>
      <w:tr>
        <w:tblPrEx>
          <w:tblCellMar>
            <w:top w:w="0" w:type="dxa"/>
            <w:left w:w="108" w:type="dxa"/>
            <w:bottom w:w="0" w:type="dxa"/>
            <w:right w:w="108" w:type="dxa"/>
          </w:tblCellMar>
        </w:tblPrEx>
        <w:trPr>
          <w:trHeight w:val="285" w:hRule="atLeast"/>
          <w:jc w:val="center"/>
        </w:trPr>
        <w:tc>
          <w:tcPr>
            <w:tcW w:w="3964" w:type="dxa"/>
            <w:tcBorders>
              <w:top w:val="nil"/>
              <w:left w:val="single" w:color="auto" w:sz="4" w:space="0"/>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10</w:t>
            </w:r>
            <w:r>
              <w:rPr>
                <w:rFonts w:cs="宋体" w:asciiTheme="minorEastAsia" w:hAnsiTheme="minorEastAsia"/>
                <w:color w:val="000000"/>
                <w:kern w:val="0"/>
                <w:szCs w:val="21"/>
              </w:rPr>
              <w:t>.《</w:t>
            </w:r>
            <w:r>
              <w:rPr>
                <w:rFonts w:hint="eastAsia" w:cs="宋体" w:asciiTheme="minorEastAsia" w:hAnsiTheme="minorEastAsia"/>
                <w:color w:val="000000"/>
                <w:kern w:val="0"/>
                <w:szCs w:val="21"/>
              </w:rPr>
              <w:t>见证委托确认书</w:t>
            </w:r>
            <w:r>
              <w:rPr>
                <w:rFonts w:cs="宋体" w:asciiTheme="minorEastAsia" w:hAnsiTheme="minorEastAsia"/>
                <w:color w:val="000000"/>
                <w:kern w:val="0"/>
                <w:szCs w:val="21"/>
              </w:rPr>
              <w:t>》</w:t>
            </w:r>
          </w:p>
        </w:tc>
        <w:tc>
          <w:tcPr>
            <w:tcW w:w="6237" w:type="dxa"/>
            <w:tcBorders>
              <w:top w:val="nil"/>
              <w:left w:val="nil"/>
              <w:bottom w:val="single" w:color="auto" w:sz="4" w:space="0"/>
              <w:right w:val="single" w:color="auto" w:sz="4" w:space="0"/>
            </w:tcBorders>
            <w:shd w:val="clear" w:color="auto" w:fill="auto"/>
            <w:noWrap/>
            <w:vAlign w:val="center"/>
          </w:tcPr>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1</w:t>
            </w:r>
            <w:r>
              <w:rPr>
                <w:rFonts w:hint="eastAsia" w:cs="宋体" w:asciiTheme="minorEastAsia" w:hAnsiTheme="minorEastAsia"/>
                <w:color w:val="000000"/>
                <w:kern w:val="0"/>
                <w:szCs w:val="21"/>
              </w:rPr>
              <w:t>.</w:t>
            </w:r>
            <w:r>
              <w:rPr>
                <w:rFonts w:hint="eastAsia" w:cs="宋体" w:asciiTheme="minorEastAsia" w:hAnsiTheme="minorEastAsia"/>
                <w:color w:val="FF0000"/>
                <w:kern w:val="0"/>
                <w:szCs w:val="21"/>
              </w:rPr>
              <w:t>仅见证委托提供</w:t>
            </w:r>
          </w:p>
          <w:p>
            <w:pPr>
              <w:widowControl/>
              <w:spacing w:line="288" w:lineRule="auto"/>
              <w:jc w:val="left"/>
              <w:rPr>
                <w:rFonts w:cs="宋体" w:asciiTheme="minorEastAsia" w:hAnsiTheme="minorEastAsia"/>
                <w:color w:val="000000"/>
                <w:kern w:val="0"/>
                <w:szCs w:val="21"/>
              </w:rPr>
            </w:pPr>
            <w:r>
              <w:rPr>
                <w:rFonts w:hint="default" w:ascii="Times New Roman" w:hAnsi="Times New Roman" w:cs="Times New Roman"/>
                <w:color w:val="000000"/>
                <w:kern w:val="0"/>
                <w:szCs w:val="21"/>
              </w:rPr>
              <w:t>2</w:t>
            </w:r>
            <w:r>
              <w:rPr>
                <w:rFonts w:hint="eastAsia" w:cs="宋体" w:asciiTheme="minorEastAsia" w:hAnsiTheme="minorEastAsia"/>
                <w:color w:val="000000"/>
                <w:kern w:val="0"/>
                <w:szCs w:val="21"/>
              </w:rPr>
              <w:t>.本人签字</w:t>
            </w:r>
          </w:p>
        </w:tc>
      </w:tr>
    </w:tbl>
    <w:p>
      <w:pPr>
        <w:spacing w:line="312" w:lineRule="auto"/>
        <w:ind w:firstLine="420" w:firstLineChars="200"/>
        <w:rPr>
          <w:rFonts w:asciiTheme="minorEastAsia" w:hAnsiTheme="minorEastAsia"/>
          <w:b/>
          <w:sz w:val="24"/>
          <w:szCs w:val="24"/>
        </w:rPr>
      </w:pPr>
      <w:r>
        <w:rPr>
          <w:rFonts w:hint="eastAsia" w:cs="宋体" w:asciiTheme="minorEastAsia" w:hAnsiTheme="minorEastAsia"/>
          <w:color w:val="000000"/>
          <w:kern w:val="0"/>
          <w:szCs w:val="21"/>
        </w:rPr>
        <w:t>注：</w:t>
      </w:r>
      <w:r>
        <w:rPr>
          <w:rFonts w:hint="eastAsia"/>
        </w:rPr>
        <w:t>若委托他人代办，须出示经公正的委托授权书及代办人的有效身份证件原件，提供复印件。</w:t>
      </w:r>
    </w:p>
    <w:p>
      <w:pPr>
        <w:snapToGrid w:val="0"/>
        <w:spacing w:before="156" w:beforeLines="50"/>
        <w:ind w:right="118" w:rightChars="56"/>
        <w:rPr>
          <w:rFonts w:asciiTheme="minorEastAsia" w:hAnsiTheme="minorEastAsia"/>
          <w:b/>
          <w:sz w:val="24"/>
          <w:szCs w:val="24"/>
        </w:rPr>
      </w:pPr>
    </w:p>
    <w:p>
      <w:pPr>
        <w:snapToGrid w:val="0"/>
        <w:spacing w:before="156" w:beforeLines="50"/>
        <w:ind w:right="118" w:rightChars="56"/>
        <w:rPr>
          <w:rFonts w:asciiTheme="minorEastAsia" w:hAnsiTheme="minorEastAsia"/>
          <w:b/>
          <w:sz w:val="24"/>
          <w:szCs w:val="24"/>
        </w:rPr>
      </w:pPr>
    </w:p>
    <w:p>
      <w:pPr>
        <w:snapToGrid w:val="0"/>
        <w:spacing w:before="156" w:beforeLines="50"/>
        <w:ind w:right="118" w:rightChars="56"/>
        <w:rPr>
          <w:rFonts w:asciiTheme="minorEastAsia" w:hAnsiTheme="minorEastAsia"/>
          <w:b/>
          <w:sz w:val="24"/>
          <w:szCs w:val="24"/>
        </w:rPr>
      </w:pPr>
      <w:r>
        <w:rPr>
          <w:rFonts w:hint="eastAsia" w:asciiTheme="minorEastAsia" w:hAnsiTheme="minorEastAsia"/>
          <w:b/>
          <w:sz w:val="24"/>
          <w:szCs w:val="24"/>
        </w:rPr>
        <w:t>三</w:t>
      </w:r>
      <w:r>
        <w:rPr>
          <w:rFonts w:asciiTheme="minorEastAsia" w:hAnsiTheme="minorEastAsia"/>
          <w:b/>
          <w:sz w:val="24"/>
          <w:szCs w:val="24"/>
        </w:rPr>
        <w:t>、</w:t>
      </w:r>
      <w:r>
        <w:rPr>
          <w:rFonts w:hint="eastAsia" w:asciiTheme="minorEastAsia" w:hAnsiTheme="minorEastAsia"/>
          <w:b/>
          <w:sz w:val="24"/>
          <w:szCs w:val="24"/>
        </w:rPr>
        <w:t>办理账户资料变更</w:t>
      </w:r>
      <w:r>
        <w:rPr>
          <w:rFonts w:asciiTheme="minorEastAsia" w:hAnsiTheme="minorEastAsia"/>
          <w:b/>
          <w:sz w:val="24"/>
          <w:szCs w:val="24"/>
        </w:rPr>
        <w:t>/销户，</w:t>
      </w:r>
      <w:r>
        <w:rPr>
          <w:rFonts w:hint="eastAsia" w:asciiTheme="minorEastAsia" w:hAnsiTheme="minorEastAsia"/>
          <w:b/>
          <w:sz w:val="24"/>
          <w:szCs w:val="24"/>
        </w:rPr>
        <w:t>须提供按要求签字的以下证明材料的复印件和已填妥表单：</w:t>
      </w:r>
    </w:p>
    <w:tbl>
      <w:tblPr>
        <w:tblStyle w:val="6"/>
        <w:tblW w:w="7261" w:type="dxa"/>
        <w:tblInd w:w="11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8"/>
        <w:gridCol w:w="850"/>
        <w:gridCol w:w="851"/>
        <w:gridCol w:w="850"/>
        <w:gridCol w:w="913"/>
        <w:gridCol w:w="819"/>
      </w:tblGrid>
      <w:tr>
        <w:tblPrEx>
          <w:tblCellMar>
            <w:top w:w="0" w:type="dxa"/>
            <w:left w:w="108" w:type="dxa"/>
            <w:bottom w:w="0" w:type="dxa"/>
            <w:right w:w="108" w:type="dxa"/>
          </w:tblCellMar>
        </w:tblPrEx>
        <w:tc>
          <w:tcPr>
            <w:tcW w:w="2978" w:type="dxa"/>
            <w:tcBorders>
              <w:tl2br w:val="single" w:color="auto" w:sz="4" w:space="0"/>
            </w:tcBorders>
            <w:vAlign w:val="center"/>
          </w:tcPr>
          <w:p>
            <w:pPr>
              <w:tabs>
                <w:tab w:val="left" w:pos="9072"/>
                <w:tab w:val="left" w:pos="10490"/>
              </w:tabs>
              <w:spacing w:line="288" w:lineRule="auto"/>
              <w:ind w:right="174" w:rightChars="83"/>
              <w:contextualSpacing/>
              <w:jc w:val="right"/>
              <w:rPr>
                <w:rFonts w:asciiTheme="minorEastAsia" w:hAnsiTheme="minorEastAsia"/>
                <w:b/>
                <w:szCs w:val="21"/>
              </w:rPr>
            </w:pPr>
            <w:r>
              <w:rPr>
                <w:rFonts w:hint="eastAsia" w:asciiTheme="minorEastAsia" w:hAnsiTheme="minorEastAsia"/>
                <w:b/>
                <w:szCs w:val="21"/>
              </w:rPr>
              <w:t>变更类型</w:t>
            </w:r>
          </w:p>
          <w:p>
            <w:pPr>
              <w:tabs>
                <w:tab w:val="left" w:pos="9072"/>
                <w:tab w:val="left" w:pos="10490"/>
              </w:tabs>
              <w:spacing w:line="288" w:lineRule="auto"/>
              <w:ind w:right="34" w:rightChars="16" w:firstLine="175" w:firstLineChars="83"/>
              <w:contextualSpacing/>
              <w:rPr>
                <w:rFonts w:asciiTheme="minorEastAsia" w:hAnsiTheme="minorEastAsia"/>
                <w:b/>
                <w:szCs w:val="21"/>
              </w:rPr>
            </w:pPr>
            <w:r>
              <w:rPr>
                <w:rFonts w:hint="eastAsia" w:asciiTheme="minorEastAsia" w:hAnsiTheme="minorEastAsia"/>
                <w:b/>
                <w:szCs w:val="21"/>
              </w:rPr>
              <w:t>提供材料</w:t>
            </w:r>
          </w:p>
        </w:tc>
        <w:tc>
          <w:tcPr>
            <w:tcW w:w="850" w:type="dxa"/>
            <w:tcBorders>
              <w:tl2br w:val="nil"/>
            </w:tcBorders>
            <w:vAlign w:val="center"/>
          </w:tcPr>
          <w:p>
            <w:pPr>
              <w:tabs>
                <w:tab w:val="left" w:pos="9072"/>
                <w:tab w:val="left" w:pos="10490"/>
              </w:tabs>
              <w:spacing w:line="288" w:lineRule="auto"/>
              <w:ind w:left="-107" w:leftChars="-51" w:right="-124" w:rightChars="-59"/>
              <w:contextualSpacing/>
              <w:jc w:val="center"/>
              <w:rPr>
                <w:rFonts w:asciiTheme="minorEastAsia" w:hAnsiTheme="minorEastAsia"/>
                <w:b/>
                <w:szCs w:val="21"/>
              </w:rPr>
            </w:pPr>
            <w:r>
              <w:rPr>
                <w:rFonts w:hint="eastAsia" w:asciiTheme="minorEastAsia" w:hAnsiTheme="minorEastAsia"/>
                <w:b/>
                <w:szCs w:val="21"/>
              </w:rPr>
              <w:t>变更</w:t>
            </w:r>
          </w:p>
          <w:p>
            <w:pPr>
              <w:tabs>
                <w:tab w:val="left" w:pos="9072"/>
                <w:tab w:val="left" w:pos="10490"/>
              </w:tabs>
              <w:spacing w:line="288" w:lineRule="auto"/>
              <w:ind w:left="-107" w:leftChars="-51" w:right="-124" w:rightChars="-59"/>
              <w:contextualSpacing/>
              <w:jc w:val="center"/>
              <w:rPr>
                <w:rFonts w:asciiTheme="minorEastAsia" w:hAnsiTheme="minorEastAsia"/>
                <w:b/>
                <w:szCs w:val="21"/>
              </w:rPr>
            </w:pPr>
            <w:r>
              <w:rPr>
                <w:rFonts w:hint="eastAsia" w:asciiTheme="minorEastAsia" w:hAnsiTheme="minorEastAsia"/>
                <w:b/>
                <w:szCs w:val="21"/>
              </w:rPr>
              <w:t>一般</w:t>
            </w:r>
          </w:p>
          <w:p>
            <w:pPr>
              <w:tabs>
                <w:tab w:val="left" w:pos="9072"/>
                <w:tab w:val="left" w:pos="10490"/>
              </w:tabs>
              <w:spacing w:line="288" w:lineRule="auto"/>
              <w:ind w:left="-107" w:leftChars="-51" w:right="-124" w:rightChars="-59"/>
              <w:contextualSpacing/>
              <w:jc w:val="center"/>
              <w:rPr>
                <w:rFonts w:asciiTheme="minorEastAsia" w:hAnsiTheme="minorEastAsia"/>
                <w:b/>
                <w:szCs w:val="21"/>
              </w:rPr>
            </w:pPr>
            <w:r>
              <w:rPr>
                <w:rFonts w:hint="eastAsia" w:asciiTheme="minorEastAsia" w:hAnsiTheme="minorEastAsia"/>
                <w:b/>
                <w:szCs w:val="21"/>
              </w:rPr>
              <w:t>信息</w:t>
            </w:r>
          </w:p>
        </w:tc>
        <w:tc>
          <w:tcPr>
            <w:tcW w:w="851" w:type="dxa"/>
            <w:tcBorders>
              <w:tl2br w:val="nil"/>
            </w:tcBorders>
            <w:vAlign w:val="center"/>
          </w:tcPr>
          <w:p>
            <w:pPr>
              <w:tabs>
                <w:tab w:val="left" w:pos="9072"/>
                <w:tab w:val="left" w:pos="10490"/>
              </w:tabs>
              <w:spacing w:line="288" w:lineRule="auto"/>
              <w:ind w:left="-107" w:leftChars="-51" w:right="-124" w:rightChars="-59"/>
              <w:contextualSpacing/>
              <w:jc w:val="center"/>
              <w:rPr>
                <w:rFonts w:asciiTheme="minorEastAsia" w:hAnsiTheme="minorEastAsia"/>
                <w:b/>
                <w:szCs w:val="21"/>
              </w:rPr>
            </w:pPr>
            <w:r>
              <w:rPr>
                <w:rFonts w:hint="eastAsia" w:asciiTheme="minorEastAsia" w:hAnsiTheme="minorEastAsia"/>
                <w:b/>
                <w:szCs w:val="21"/>
              </w:rPr>
              <w:t>变更</w:t>
            </w:r>
          </w:p>
          <w:p>
            <w:pPr>
              <w:tabs>
                <w:tab w:val="left" w:pos="9072"/>
                <w:tab w:val="left" w:pos="10490"/>
              </w:tabs>
              <w:spacing w:line="288" w:lineRule="auto"/>
              <w:ind w:left="-107" w:leftChars="-51" w:right="-124" w:rightChars="-59"/>
              <w:contextualSpacing/>
              <w:jc w:val="center"/>
              <w:rPr>
                <w:rFonts w:asciiTheme="minorEastAsia" w:hAnsiTheme="minorEastAsia"/>
                <w:b/>
                <w:szCs w:val="21"/>
              </w:rPr>
            </w:pPr>
            <w:r>
              <w:rPr>
                <w:rFonts w:hint="eastAsia" w:asciiTheme="minorEastAsia" w:hAnsiTheme="minorEastAsia"/>
                <w:b/>
                <w:szCs w:val="21"/>
              </w:rPr>
              <w:t>户名</w:t>
            </w:r>
          </w:p>
        </w:tc>
        <w:tc>
          <w:tcPr>
            <w:tcW w:w="850" w:type="dxa"/>
            <w:vAlign w:val="center"/>
          </w:tcPr>
          <w:p>
            <w:pPr>
              <w:tabs>
                <w:tab w:val="left" w:pos="9072"/>
                <w:tab w:val="left" w:pos="10490"/>
              </w:tabs>
              <w:spacing w:line="288" w:lineRule="auto"/>
              <w:ind w:left="-107" w:leftChars="-51" w:right="-124" w:rightChars="-59"/>
              <w:contextualSpacing/>
              <w:jc w:val="center"/>
              <w:rPr>
                <w:rFonts w:asciiTheme="minorEastAsia" w:hAnsiTheme="minorEastAsia"/>
                <w:b/>
                <w:szCs w:val="21"/>
              </w:rPr>
            </w:pPr>
            <w:r>
              <w:rPr>
                <w:rFonts w:hint="eastAsia" w:asciiTheme="minorEastAsia" w:hAnsiTheme="minorEastAsia"/>
                <w:b/>
                <w:szCs w:val="21"/>
              </w:rPr>
              <w:t>变更</w:t>
            </w:r>
          </w:p>
          <w:p>
            <w:pPr>
              <w:tabs>
                <w:tab w:val="left" w:pos="9072"/>
                <w:tab w:val="left" w:pos="10490"/>
              </w:tabs>
              <w:spacing w:line="288" w:lineRule="auto"/>
              <w:ind w:left="-107" w:leftChars="-51" w:right="-124" w:rightChars="-59"/>
              <w:contextualSpacing/>
              <w:jc w:val="center"/>
              <w:rPr>
                <w:rFonts w:asciiTheme="minorEastAsia" w:hAnsiTheme="minorEastAsia"/>
                <w:b/>
                <w:szCs w:val="21"/>
              </w:rPr>
            </w:pPr>
            <w:r>
              <w:rPr>
                <w:rFonts w:hint="eastAsia" w:asciiTheme="minorEastAsia" w:hAnsiTheme="minorEastAsia"/>
                <w:b/>
                <w:szCs w:val="21"/>
              </w:rPr>
              <w:t>开户</w:t>
            </w:r>
          </w:p>
          <w:p>
            <w:pPr>
              <w:tabs>
                <w:tab w:val="left" w:pos="9072"/>
                <w:tab w:val="left" w:pos="10490"/>
              </w:tabs>
              <w:spacing w:line="288" w:lineRule="auto"/>
              <w:ind w:left="-107" w:leftChars="-51" w:right="-124" w:rightChars="-59"/>
              <w:contextualSpacing/>
              <w:jc w:val="center"/>
              <w:rPr>
                <w:rFonts w:asciiTheme="minorEastAsia" w:hAnsiTheme="minorEastAsia"/>
                <w:b/>
                <w:szCs w:val="21"/>
              </w:rPr>
            </w:pPr>
            <w:r>
              <w:rPr>
                <w:rFonts w:hint="eastAsia" w:asciiTheme="minorEastAsia" w:hAnsiTheme="minorEastAsia"/>
                <w:b/>
                <w:szCs w:val="21"/>
              </w:rPr>
              <w:t>证件</w:t>
            </w:r>
          </w:p>
        </w:tc>
        <w:tc>
          <w:tcPr>
            <w:tcW w:w="913" w:type="dxa"/>
            <w:vAlign w:val="center"/>
          </w:tcPr>
          <w:p>
            <w:pPr>
              <w:tabs>
                <w:tab w:val="left" w:pos="9072"/>
                <w:tab w:val="left" w:pos="10490"/>
              </w:tabs>
              <w:spacing w:line="288" w:lineRule="auto"/>
              <w:ind w:left="-107" w:leftChars="-51" w:right="-124" w:rightChars="-59"/>
              <w:contextualSpacing/>
              <w:jc w:val="center"/>
              <w:rPr>
                <w:rFonts w:asciiTheme="minorEastAsia" w:hAnsiTheme="minorEastAsia"/>
                <w:b/>
                <w:szCs w:val="21"/>
              </w:rPr>
            </w:pPr>
            <w:r>
              <w:rPr>
                <w:rFonts w:hint="eastAsia" w:asciiTheme="minorEastAsia" w:hAnsiTheme="minorEastAsia"/>
                <w:b/>
                <w:szCs w:val="21"/>
              </w:rPr>
              <w:t>变更</w:t>
            </w:r>
          </w:p>
          <w:p>
            <w:pPr>
              <w:tabs>
                <w:tab w:val="left" w:pos="9072"/>
                <w:tab w:val="left" w:pos="10490"/>
              </w:tabs>
              <w:spacing w:line="288" w:lineRule="auto"/>
              <w:ind w:left="-107" w:leftChars="-51" w:right="-124" w:rightChars="-59"/>
              <w:contextualSpacing/>
              <w:jc w:val="center"/>
              <w:rPr>
                <w:rFonts w:asciiTheme="minorEastAsia" w:hAnsiTheme="minorEastAsia"/>
                <w:b/>
                <w:szCs w:val="21"/>
              </w:rPr>
            </w:pPr>
            <w:r>
              <w:rPr>
                <w:rFonts w:hint="eastAsia" w:asciiTheme="minorEastAsia" w:hAnsiTheme="minorEastAsia"/>
                <w:b/>
                <w:szCs w:val="21"/>
              </w:rPr>
              <w:t>银行</w:t>
            </w:r>
          </w:p>
          <w:p>
            <w:pPr>
              <w:tabs>
                <w:tab w:val="left" w:pos="9072"/>
                <w:tab w:val="left" w:pos="10490"/>
              </w:tabs>
              <w:spacing w:line="288" w:lineRule="auto"/>
              <w:ind w:left="-107" w:leftChars="-51" w:right="-124" w:rightChars="-59"/>
              <w:contextualSpacing/>
              <w:jc w:val="center"/>
              <w:rPr>
                <w:rFonts w:asciiTheme="minorEastAsia" w:hAnsiTheme="minorEastAsia"/>
                <w:b/>
                <w:szCs w:val="21"/>
              </w:rPr>
            </w:pPr>
            <w:r>
              <w:rPr>
                <w:rFonts w:hint="eastAsia" w:asciiTheme="minorEastAsia" w:hAnsiTheme="minorEastAsia"/>
                <w:b/>
                <w:szCs w:val="21"/>
              </w:rPr>
              <w:t>账户</w:t>
            </w:r>
          </w:p>
        </w:tc>
        <w:tc>
          <w:tcPr>
            <w:tcW w:w="819" w:type="dxa"/>
            <w:vAlign w:val="center"/>
          </w:tcPr>
          <w:p>
            <w:pPr>
              <w:tabs>
                <w:tab w:val="left" w:pos="9072"/>
                <w:tab w:val="left" w:pos="10490"/>
              </w:tabs>
              <w:spacing w:line="288" w:lineRule="auto"/>
              <w:ind w:left="-107" w:leftChars="-51" w:right="-124" w:rightChars="-59"/>
              <w:contextualSpacing/>
              <w:jc w:val="center"/>
              <w:rPr>
                <w:rFonts w:asciiTheme="minorEastAsia" w:hAnsiTheme="minorEastAsia"/>
                <w:b/>
                <w:szCs w:val="21"/>
              </w:rPr>
            </w:pPr>
            <w:r>
              <w:rPr>
                <w:rFonts w:hint="eastAsia" w:asciiTheme="minorEastAsia" w:hAnsiTheme="minorEastAsia"/>
                <w:b/>
                <w:szCs w:val="21"/>
              </w:rPr>
              <w:t>销户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8" w:type="dxa"/>
          </w:tcPr>
          <w:p>
            <w:pPr>
              <w:tabs>
                <w:tab w:val="left" w:pos="9072"/>
                <w:tab w:val="left" w:pos="10490"/>
              </w:tabs>
              <w:spacing w:line="288" w:lineRule="auto"/>
              <w:ind w:right="34" w:rightChars="16"/>
              <w:contextualSpacing/>
              <w:rPr>
                <w:rFonts w:asciiTheme="minorEastAsia" w:hAnsiTheme="minorEastAsia"/>
                <w:szCs w:val="21"/>
              </w:rPr>
            </w:pPr>
            <w:r>
              <w:rPr>
                <w:rFonts w:asciiTheme="minorEastAsia" w:hAnsiTheme="minorEastAsia"/>
                <w:szCs w:val="21"/>
              </w:rPr>
              <w:t>身份证复印件，出示原件</w:t>
            </w:r>
          </w:p>
        </w:tc>
        <w:tc>
          <w:tcPr>
            <w:tcW w:w="850" w:type="dxa"/>
          </w:tcPr>
          <w:p>
            <w:pPr>
              <w:tabs>
                <w:tab w:val="left" w:pos="9072"/>
                <w:tab w:val="left" w:pos="10490"/>
              </w:tabs>
              <w:spacing w:line="288" w:lineRule="auto"/>
              <w:ind w:left="-107" w:leftChars="-51" w:right="-124" w:rightChars="-59"/>
              <w:contextualSpacing/>
              <w:jc w:val="center"/>
              <w:rPr>
                <w:rFonts w:asciiTheme="minorEastAsia" w:hAnsiTheme="minorEastAsia"/>
                <w:szCs w:val="21"/>
              </w:rPr>
            </w:pPr>
            <w:r>
              <w:rPr>
                <w:rFonts w:ascii="MS Gothic" w:hAnsi="MS Gothic" w:eastAsia="MS Gothic" w:cs="MS Gothic"/>
                <w:szCs w:val="21"/>
              </w:rPr>
              <w:t>✔</w:t>
            </w:r>
          </w:p>
        </w:tc>
        <w:tc>
          <w:tcPr>
            <w:tcW w:w="851" w:type="dxa"/>
          </w:tcPr>
          <w:p>
            <w:pPr>
              <w:tabs>
                <w:tab w:val="left" w:pos="9072"/>
                <w:tab w:val="left" w:pos="10490"/>
              </w:tabs>
              <w:spacing w:line="288" w:lineRule="auto"/>
              <w:ind w:left="-107" w:leftChars="-51" w:right="-124" w:rightChars="-59"/>
              <w:contextualSpacing/>
              <w:jc w:val="center"/>
              <w:rPr>
                <w:rFonts w:asciiTheme="minorEastAsia" w:hAnsiTheme="minorEastAsia"/>
                <w:szCs w:val="21"/>
              </w:rPr>
            </w:pPr>
            <w:r>
              <w:rPr>
                <w:rFonts w:ascii="MS Gothic" w:hAnsi="MS Gothic" w:eastAsia="MS Gothic" w:cs="MS Gothic"/>
                <w:szCs w:val="21"/>
              </w:rPr>
              <w:t>✔</w:t>
            </w:r>
          </w:p>
        </w:tc>
        <w:tc>
          <w:tcPr>
            <w:tcW w:w="850" w:type="dxa"/>
          </w:tcPr>
          <w:p>
            <w:pPr>
              <w:tabs>
                <w:tab w:val="left" w:pos="9072"/>
                <w:tab w:val="left" w:pos="10490"/>
              </w:tabs>
              <w:spacing w:line="288" w:lineRule="auto"/>
              <w:ind w:left="-107" w:leftChars="-51" w:right="-124" w:rightChars="-59"/>
              <w:contextualSpacing/>
              <w:jc w:val="center"/>
              <w:rPr>
                <w:rFonts w:asciiTheme="minorEastAsia" w:hAnsiTheme="minorEastAsia"/>
                <w:szCs w:val="21"/>
              </w:rPr>
            </w:pPr>
            <w:r>
              <w:rPr>
                <w:rFonts w:ascii="MS Gothic" w:hAnsi="MS Gothic" w:eastAsia="MS Gothic" w:cs="MS Gothic"/>
                <w:szCs w:val="21"/>
              </w:rPr>
              <w:t>✔</w:t>
            </w:r>
          </w:p>
        </w:tc>
        <w:tc>
          <w:tcPr>
            <w:tcW w:w="913" w:type="dxa"/>
          </w:tcPr>
          <w:p>
            <w:pPr>
              <w:tabs>
                <w:tab w:val="left" w:pos="9072"/>
                <w:tab w:val="left" w:pos="10490"/>
              </w:tabs>
              <w:spacing w:line="288" w:lineRule="auto"/>
              <w:ind w:left="-107" w:leftChars="-51" w:right="-124" w:rightChars="-59"/>
              <w:contextualSpacing/>
              <w:jc w:val="center"/>
              <w:rPr>
                <w:rFonts w:asciiTheme="minorEastAsia" w:hAnsiTheme="minorEastAsia"/>
                <w:szCs w:val="21"/>
              </w:rPr>
            </w:pPr>
            <w:r>
              <w:rPr>
                <w:rFonts w:ascii="MS Gothic" w:hAnsi="MS Gothic" w:eastAsia="MS Gothic" w:cs="MS Gothic"/>
                <w:szCs w:val="21"/>
              </w:rPr>
              <w:t>✔</w:t>
            </w:r>
          </w:p>
        </w:tc>
        <w:tc>
          <w:tcPr>
            <w:tcW w:w="819" w:type="dxa"/>
          </w:tcPr>
          <w:p>
            <w:pPr>
              <w:tabs>
                <w:tab w:val="left" w:pos="9072"/>
                <w:tab w:val="left" w:pos="10490"/>
              </w:tabs>
              <w:spacing w:line="288" w:lineRule="auto"/>
              <w:ind w:left="-107" w:leftChars="-51" w:right="-124" w:rightChars="-59"/>
              <w:contextualSpacing/>
              <w:jc w:val="center"/>
              <w:rPr>
                <w:rFonts w:asciiTheme="minorEastAsia" w:hAnsiTheme="minorEastAsia"/>
                <w:szCs w:val="21"/>
              </w:rPr>
            </w:pPr>
            <w:r>
              <w:rPr>
                <w:rFonts w:ascii="MS Gothic" w:hAnsi="MS Gothic" w:eastAsia="MS Gothic" w:cs="MS Gothic"/>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8" w:type="dxa"/>
          </w:tcPr>
          <w:p>
            <w:pPr>
              <w:tabs>
                <w:tab w:val="left" w:pos="9072"/>
                <w:tab w:val="left" w:pos="10490"/>
              </w:tabs>
              <w:spacing w:line="288" w:lineRule="auto"/>
              <w:ind w:right="34" w:rightChars="16"/>
              <w:contextualSpacing/>
              <w:rPr>
                <w:rFonts w:asciiTheme="minorEastAsia" w:hAnsiTheme="minorEastAsia"/>
                <w:szCs w:val="21"/>
              </w:rPr>
            </w:pPr>
            <w:r>
              <w:rPr>
                <w:rFonts w:hint="eastAsia" w:asciiTheme="minorEastAsia" w:hAnsiTheme="minorEastAsia"/>
                <w:szCs w:val="21"/>
              </w:rPr>
              <w:t>《账户业务申请表》-个人版</w:t>
            </w:r>
          </w:p>
        </w:tc>
        <w:tc>
          <w:tcPr>
            <w:tcW w:w="850" w:type="dxa"/>
          </w:tcPr>
          <w:p>
            <w:pPr>
              <w:tabs>
                <w:tab w:val="left" w:pos="9072"/>
                <w:tab w:val="left" w:pos="10490"/>
              </w:tabs>
              <w:spacing w:line="288" w:lineRule="auto"/>
              <w:ind w:left="-107" w:leftChars="-51" w:right="-124" w:rightChars="-59"/>
              <w:contextualSpacing/>
              <w:jc w:val="center"/>
              <w:rPr>
                <w:rFonts w:asciiTheme="minorEastAsia" w:hAnsiTheme="minorEastAsia"/>
                <w:szCs w:val="21"/>
              </w:rPr>
            </w:pPr>
            <w:r>
              <w:rPr>
                <w:rFonts w:ascii="MS Gothic" w:hAnsi="MS Gothic" w:eastAsia="MS Gothic" w:cs="MS Gothic"/>
                <w:szCs w:val="21"/>
              </w:rPr>
              <w:t>✔</w:t>
            </w:r>
          </w:p>
        </w:tc>
        <w:tc>
          <w:tcPr>
            <w:tcW w:w="851" w:type="dxa"/>
          </w:tcPr>
          <w:p>
            <w:pPr>
              <w:tabs>
                <w:tab w:val="left" w:pos="9072"/>
                <w:tab w:val="left" w:pos="10490"/>
              </w:tabs>
              <w:spacing w:line="288" w:lineRule="auto"/>
              <w:ind w:left="-107" w:leftChars="-51" w:right="-124" w:rightChars="-59"/>
              <w:contextualSpacing/>
              <w:jc w:val="center"/>
              <w:rPr>
                <w:rFonts w:asciiTheme="minorEastAsia" w:hAnsiTheme="minorEastAsia"/>
                <w:szCs w:val="21"/>
              </w:rPr>
            </w:pPr>
            <w:r>
              <w:rPr>
                <w:rFonts w:ascii="MS Gothic" w:hAnsi="MS Gothic" w:eastAsia="MS Gothic" w:cs="MS Gothic"/>
                <w:szCs w:val="21"/>
              </w:rPr>
              <w:t>✔</w:t>
            </w:r>
          </w:p>
        </w:tc>
        <w:tc>
          <w:tcPr>
            <w:tcW w:w="850" w:type="dxa"/>
          </w:tcPr>
          <w:p>
            <w:pPr>
              <w:tabs>
                <w:tab w:val="left" w:pos="9072"/>
                <w:tab w:val="left" w:pos="10490"/>
              </w:tabs>
              <w:spacing w:line="288" w:lineRule="auto"/>
              <w:ind w:left="-107" w:leftChars="-51" w:right="-124" w:rightChars="-59"/>
              <w:contextualSpacing/>
              <w:jc w:val="center"/>
              <w:rPr>
                <w:rFonts w:asciiTheme="minorEastAsia" w:hAnsiTheme="minorEastAsia"/>
                <w:szCs w:val="21"/>
              </w:rPr>
            </w:pPr>
            <w:r>
              <w:rPr>
                <w:rFonts w:ascii="MS Gothic" w:hAnsi="MS Gothic" w:eastAsia="MS Gothic" w:cs="MS Gothic"/>
                <w:szCs w:val="21"/>
              </w:rPr>
              <w:t>✔</w:t>
            </w:r>
          </w:p>
        </w:tc>
        <w:tc>
          <w:tcPr>
            <w:tcW w:w="913" w:type="dxa"/>
          </w:tcPr>
          <w:p>
            <w:pPr>
              <w:tabs>
                <w:tab w:val="left" w:pos="9072"/>
                <w:tab w:val="left" w:pos="10490"/>
              </w:tabs>
              <w:spacing w:line="288" w:lineRule="auto"/>
              <w:ind w:left="-107" w:leftChars="-51" w:right="-124" w:rightChars="-59"/>
              <w:contextualSpacing/>
              <w:jc w:val="center"/>
              <w:rPr>
                <w:rFonts w:asciiTheme="minorEastAsia" w:hAnsiTheme="minorEastAsia"/>
                <w:szCs w:val="21"/>
              </w:rPr>
            </w:pPr>
            <w:r>
              <w:rPr>
                <w:rFonts w:ascii="MS Gothic" w:hAnsi="MS Gothic" w:eastAsia="MS Gothic" w:cs="MS Gothic"/>
                <w:szCs w:val="21"/>
              </w:rPr>
              <w:t>✔</w:t>
            </w:r>
          </w:p>
        </w:tc>
        <w:tc>
          <w:tcPr>
            <w:tcW w:w="819" w:type="dxa"/>
          </w:tcPr>
          <w:p>
            <w:pPr>
              <w:tabs>
                <w:tab w:val="left" w:pos="9072"/>
                <w:tab w:val="left" w:pos="10490"/>
              </w:tabs>
              <w:spacing w:line="288" w:lineRule="auto"/>
              <w:ind w:left="-107" w:leftChars="-51" w:right="-124" w:rightChars="-59"/>
              <w:contextualSpacing/>
              <w:jc w:val="center"/>
              <w:rPr>
                <w:rFonts w:asciiTheme="minorEastAsia" w:hAnsiTheme="minorEastAsia"/>
                <w:szCs w:val="21"/>
              </w:rPr>
            </w:pPr>
            <w:r>
              <w:rPr>
                <w:rFonts w:ascii="MS Gothic" w:hAnsi="MS Gothic" w:eastAsia="MS Gothic" w:cs="MS Gothic"/>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8" w:type="dxa"/>
          </w:tcPr>
          <w:p>
            <w:pPr>
              <w:tabs>
                <w:tab w:val="left" w:pos="9072"/>
                <w:tab w:val="left" w:pos="10490"/>
              </w:tabs>
              <w:spacing w:line="288" w:lineRule="auto"/>
              <w:ind w:right="34" w:rightChars="16"/>
              <w:contextualSpacing/>
              <w:rPr>
                <w:rFonts w:asciiTheme="minorEastAsia" w:hAnsiTheme="minorEastAsia"/>
                <w:szCs w:val="21"/>
              </w:rPr>
            </w:pPr>
            <w:r>
              <w:rPr>
                <w:rFonts w:asciiTheme="minorEastAsia" w:hAnsiTheme="minorEastAsia"/>
                <w:szCs w:val="21"/>
              </w:rPr>
              <w:t>银行卡或折复印件</w:t>
            </w:r>
          </w:p>
        </w:tc>
        <w:tc>
          <w:tcPr>
            <w:tcW w:w="850" w:type="dxa"/>
          </w:tcPr>
          <w:p>
            <w:pPr>
              <w:tabs>
                <w:tab w:val="left" w:pos="9072"/>
                <w:tab w:val="left" w:pos="10490"/>
              </w:tabs>
              <w:spacing w:line="288" w:lineRule="auto"/>
              <w:ind w:left="-107" w:leftChars="-51" w:right="-124" w:rightChars="-59"/>
              <w:contextualSpacing/>
              <w:jc w:val="center"/>
              <w:rPr>
                <w:rFonts w:ascii="MS Gothic" w:hAnsi="MS Gothic" w:eastAsia="MS Gothic" w:cs="MS Gothic"/>
                <w:szCs w:val="21"/>
              </w:rPr>
            </w:pPr>
          </w:p>
        </w:tc>
        <w:tc>
          <w:tcPr>
            <w:tcW w:w="851" w:type="dxa"/>
          </w:tcPr>
          <w:p>
            <w:pPr>
              <w:tabs>
                <w:tab w:val="left" w:pos="9072"/>
                <w:tab w:val="left" w:pos="10490"/>
              </w:tabs>
              <w:spacing w:line="288" w:lineRule="auto"/>
              <w:ind w:left="-107" w:leftChars="-51" w:right="-124" w:rightChars="-59"/>
              <w:contextualSpacing/>
              <w:jc w:val="center"/>
              <w:rPr>
                <w:rFonts w:ascii="MS Gothic" w:hAnsi="MS Gothic" w:eastAsia="MS Gothic" w:cs="MS Gothic"/>
                <w:szCs w:val="21"/>
              </w:rPr>
            </w:pPr>
          </w:p>
        </w:tc>
        <w:tc>
          <w:tcPr>
            <w:tcW w:w="850" w:type="dxa"/>
          </w:tcPr>
          <w:p>
            <w:pPr>
              <w:tabs>
                <w:tab w:val="left" w:pos="9072"/>
                <w:tab w:val="left" w:pos="10490"/>
              </w:tabs>
              <w:spacing w:line="288" w:lineRule="auto"/>
              <w:ind w:left="-107" w:leftChars="-51" w:right="-124" w:rightChars="-59"/>
              <w:contextualSpacing/>
              <w:jc w:val="center"/>
              <w:rPr>
                <w:rFonts w:ascii="MS Gothic" w:hAnsi="MS Gothic" w:eastAsia="MS Gothic" w:cs="MS Gothic"/>
                <w:szCs w:val="21"/>
              </w:rPr>
            </w:pPr>
          </w:p>
        </w:tc>
        <w:tc>
          <w:tcPr>
            <w:tcW w:w="913" w:type="dxa"/>
          </w:tcPr>
          <w:p>
            <w:pPr>
              <w:tabs>
                <w:tab w:val="left" w:pos="9072"/>
                <w:tab w:val="left" w:pos="10490"/>
              </w:tabs>
              <w:spacing w:line="288" w:lineRule="auto"/>
              <w:ind w:left="-107" w:leftChars="-51" w:right="-124" w:rightChars="-59"/>
              <w:contextualSpacing/>
              <w:jc w:val="center"/>
              <w:rPr>
                <w:rFonts w:ascii="MS Gothic" w:hAnsi="MS Gothic" w:eastAsia="MS Gothic" w:cs="MS Gothic"/>
                <w:szCs w:val="21"/>
              </w:rPr>
            </w:pPr>
            <w:r>
              <w:rPr>
                <w:rFonts w:ascii="MS Gothic" w:hAnsi="MS Gothic" w:eastAsia="MS Gothic" w:cs="MS Gothic"/>
                <w:szCs w:val="21"/>
              </w:rPr>
              <w:t>✔</w:t>
            </w:r>
          </w:p>
        </w:tc>
        <w:tc>
          <w:tcPr>
            <w:tcW w:w="819" w:type="dxa"/>
          </w:tcPr>
          <w:p>
            <w:pPr>
              <w:tabs>
                <w:tab w:val="left" w:pos="9072"/>
                <w:tab w:val="left" w:pos="10490"/>
              </w:tabs>
              <w:spacing w:line="288" w:lineRule="auto"/>
              <w:ind w:left="-107" w:leftChars="-51" w:right="-124" w:rightChars="-59"/>
              <w:contextualSpacing/>
              <w:jc w:val="center"/>
              <w:rPr>
                <w:rFonts w:ascii="MS Gothic" w:hAnsi="MS Gothic" w:eastAsia="MS Gothic" w:cs="MS Gothic"/>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8" w:type="dxa"/>
            <w:tcBorders>
              <w:bottom w:val="single" w:color="auto" w:sz="4" w:space="0"/>
            </w:tcBorders>
            <w:vAlign w:val="center"/>
          </w:tcPr>
          <w:p>
            <w:pPr>
              <w:tabs>
                <w:tab w:val="left" w:pos="3186"/>
                <w:tab w:val="left" w:pos="9072"/>
                <w:tab w:val="left" w:pos="10490"/>
              </w:tabs>
              <w:spacing w:line="288" w:lineRule="auto"/>
              <w:ind w:right="34" w:rightChars="16"/>
              <w:contextualSpacing/>
              <w:rPr>
                <w:rFonts w:asciiTheme="minorEastAsia" w:hAnsiTheme="minorEastAsia"/>
                <w:szCs w:val="21"/>
              </w:rPr>
            </w:pPr>
            <w:r>
              <w:rPr>
                <w:rFonts w:hint="eastAsia" w:asciiTheme="minorEastAsia" w:hAnsiTheme="minorEastAsia"/>
                <w:szCs w:val="21"/>
              </w:rPr>
              <w:t>相关机关提供的变更证明或机构出具变更说明函</w:t>
            </w:r>
          </w:p>
        </w:tc>
        <w:tc>
          <w:tcPr>
            <w:tcW w:w="850" w:type="dxa"/>
            <w:tcBorders>
              <w:bottom w:val="single" w:color="auto" w:sz="4" w:space="0"/>
            </w:tcBorders>
            <w:vAlign w:val="center"/>
          </w:tcPr>
          <w:p>
            <w:pPr>
              <w:tabs>
                <w:tab w:val="left" w:pos="9072"/>
                <w:tab w:val="left" w:pos="10490"/>
              </w:tabs>
              <w:spacing w:line="288" w:lineRule="auto"/>
              <w:ind w:left="-107" w:leftChars="-51" w:right="-124" w:rightChars="-59"/>
              <w:contextualSpacing/>
              <w:jc w:val="center"/>
              <w:rPr>
                <w:rFonts w:asciiTheme="minorEastAsia" w:hAnsiTheme="minorEastAsia"/>
                <w:szCs w:val="21"/>
              </w:rPr>
            </w:pPr>
          </w:p>
        </w:tc>
        <w:tc>
          <w:tcPr>
            <w:tcW w:w="851" w:type="dxa"/>
            <w:tcBorders>
              <w:bottom w:val="single" w:color="auto" w:sz="4" w:space="0"/>
            </w:tcBorders>
            <w:vAlign w:val="center"/>
          </w:tcPr>
          <w:p>
            <w:pPr>
              <w:tabs>
                <w:tab w:val="left" w:pos="9072"/>
                <w:tab w:val="left" w:pos="10490"/>
              </w:tabs>
              <w:spacing w:line="288" w:lineRule="auto"/>
              <w:ind w:left="-107" w:leftChars="-51" w:right="-124" w:rightChars="-59"/>
              <w:contextualSpacing/>
              <w:jc w:val="center"/>
              <w:rPr>
                <w:rFonts w:asciiTheme="minorEastAsia" w:hAnsiTheme="minorEastAsia"/>
                <w:szCs w:val="21"/>
              </w:rPr>
            </w:pPr>
            <w:r>
              <w:rPr>
                <w:rFonts w:ascii="MS Gothic" w:hAnsi="MS Gothic" w:eastAsia="MS Gothic" w:cs="MS Gothic"/>
                <w:szCs w:val="21"/>
              </w:rPr>
              <w:t>✔</w:t>
            </w:r>
          </w:p>
        </w:tc>
        <w:tc>
          <w:tcPr>
            <w:tcW w:w="850" w:type="dxa"/>
            <w:tcBorders>
              <w:bottom w:val="single" w:color="auto" w:sz="4" w:space="0"/>
            </w:tcBorders>
            <w:vAlign w:val="center"/>
          </w:tcPr>
          <w:p>
            <w:pPr>
              <w:tabs>
                <w:tab w:val="left" w:pos="9072"/>
                <w:tab w:val="left" w:pos="10490"/>
              </w:tabs>
              <w:spacing w:line="288" w:lineRule="auto"/>
              <w:ind w:left="-107" w:leftChars="-51" w:right="-124" w:rightChars="-59"/>
              <w:contextualSpacing/>
              <w:jc w:val="center"/>
              <w:rPr>
                <w:rFonts w:asciiTheme="minorEastAsia" w:hAnsiTheme="minorEastAsia"/>
                <w:szCs w:val="21"/>
              </w:rPr>
            </w:pPr>
            <w:r>
              <w:rPr>
                <w:rFonts w:ascii="MS Gothic" w:hAnsi="MS Gothic" w:eastAsia="MS Gothic" w:cs="MS Gothic"/>
                <w:szCs w:val="21"/>
              </w:rPr>
              <w:t>✔</w:t>
            </w:r>
          </w:p>
        </w:tc>
        <w:tc>
          <w:tcPr>
            <w:tcW w:w="913" w:type="dxa"/>
            <w:tcBorders>
              <w:bottom w:val="single" w:color="auto" w:sz="4" w:space="0"/>
            </w:tcBorders>
            <w:vAlign w:val="center"/>
          </w:tcPr>
          <w:p>
            <w:pPr>
              <w:tabs>
                <w:tab w:val="left" w:pos="9072"/>
                <w:tab w:val="left" w:pos="10490"/>
              </w:tabs>
              <w:spacing w:line="288" w:lineRule="auto"/>
              <w:ind w:left="-107" w:leftChars="-51" w:right="-124" w:rightChars="-59"/>
              <w:contextualSpacing/>
              <w:jc w:val="center"/>
              <w:rPr>
                <w:rFonts w:asciiTheme="minorEastAsia" w:hAnsiTheme="minorEastAsia"/>
                <w:szCs w:val="21"/>
              </w:rPr>
            </w:pPr>
            <w:r>
              <w:rPr>
                <w:rFonts w:ascii="MS Gothic" w:hAnsi="MS Gothic" w:eastAsia="MS Gothic" w:cs="MS Gothic"/>
                <w:szCs w:val="21"/>
              </w:rPr>
              <w:t>✔</w:t>
            </w:r>
          </w:p>
        </w:tc>
        <w:tc>
          <w:tcPr>
            <w:tcW w:w="819" w:type="dxa"/>
            <w:tcBorders>
              <w:bottom w:val="single" w:color="auto" w:sz="4" w:space="0"/>
            </w:tcBorders>
            <w:vAlign w:val="center"/>
          </w:tcPr>
          <w:p>
            <w:pPr>
              <w:tabs>
                <w:tab w:val="left" w:pos="9072"/>
                <w:tab w:val="left" w:pos="10490"/>
              </w:tabs>
              <w:spacing w:line="288" w:lineRule="auto"/>
              <w:ind w:left="-107" w:leftChars="-51" w:right="-124" w:rightChars="-59"/>
              <w:contextualSpacing/>
              <w:jc w:val="center"/>
              <w:rPr>
                <w:rFonts w:asciiTheme="minorEastAsia" w:hAnsiTheme="minorEastAsia"/>
                <w:szCs w:val="21"/>
              </w:rPr>
            </w:pPr>
          </w:p>
        </w:tc>
      </w:tr>
    </w:tbl>
    <w:p>
      <w:pPr>
        <w:snapToGrid w:val="0"/>
        <w:spacing w:before="156" w:beforeLines="50" w:line="312" w:lineRule="auto"/>
        <w:ind w:right="141" w:rightChars="67" w:firstLine="422" w:firstLineChars="175"/>
        <w:rPr>
          <w:rFonts w:asciiTheme="minorEastAsia" w:hAnsiTheme="minorEastAsia"/>
          <w:b/>
          <w:sz w:val="24"/>
          <w:szCs w:val="24"/>
        </w:rPr>
      </w:pPr>
    </w:p>
    <w:p>
      <w:pPr>
        <w:snapToGrid w:val="0"/>
        <w:spacing w:line="288" w:lineRule="auto"/>
        <w:ind w:right="141" w:rightChars="67" w:firstLine="422" w:firstLineChars="175"/>
        <w:rPr>
          <w:rFonts w:asciiTheme="minorEastAsia" w:hAnsiTheme="minorEastAsia"/>
          <w:b/>
          <w:sz w:val="24"/>
          <w:szCs w:val="24"/>
        </w:rPr>
      </w:pPr>
      <w:r>
        <w:rPr>
          <w:rFonts w:hint="eastAsia" w:asciiTheme="minorEastAsia" w:hAnsiTheme="minorEastAsia"/>
          <w:b/>
          <w:sz w:val="24"/>
          <w:szCs w:val="24"/>
        </w:rPr>
        <w:t>四、交易类业务：</w:t>
      </w:r>
    </w:p>
    <w:p>
      <w:pPr>
        <w:snapToGrid w:val="0"/>
        <w:spacing w:line="288" w:lineRule="auto"/>
        <w:ind w:right="141" w:rightChars="67" w:firstLine="369" w:firstLineChars="175"/>
        <w:rPr>
          <w:rFonts w:asciiTheme="minorEastAsia" w:hAnsiTheme="minorEastAsia"/>
          <w:b/>
          <w:bCs/>
          <w:szCs w:val="21"/>
        </w:rPr>
      </w:pPr>
      <w:r>
        <w:rPr>
          <w:rFonts w:hint="eastAsia" w:asciiTheme="minorEastAsia" w:hAnsiTheme="minorEastAsia"/>
          <w:b/>
          <w:bCs/>
          <w:szCs w:val="21"/>
        </w:rPr>
        <w:t>（一）认/申购款：</w:t>
      </w:r>
    </w:p>
    <w:p>
      <w:pPr>
        <w:snapToGrid w:val="0"/>
        <w:spacing w:line="288" w:lineRule="auto"/>
        <w:ind w:right="141" w:rightChars="67" w:firstLine="367" w:firstLineChars="175"/>
        <w:rPr>
          <w:rFonts w:asciiTheme="minorEastAsia" w:hAnsiTheme="minorEastAsia"/>
          <w:szCs w:val="21"/>
        </w:rPr>
      </w:pPr>
      <w:r>
        <w:rPr>
          <w:rFonts w:hint="default" w:ascii="Times New Roman" w:hAnsi="Times New Roman" w:cs="Times New Roman"/>
          <w:szCs w:val="21"/>
        </w:rPr>
        <w:t>1</w:t>
      </w:r>
      <w:r>
        <w:rPr>
          <w:rFonts w:hint="eastAsia" w:asciiTheme="minorEastAsia" w:hAnsiTheme="minorEastAsia"/>
          <w:szCs w:val="21"/>
        </w:rPr>
        <w:t>、投资者申请认（申）购本公司产品，相关申请款项应在申请日</w:t>
      </w:r>
      <w:r>
        <w:rPr>
          <w:rFonts w:hint="default" w:ascii="Times New Roman" w:hAnsi="Times New Roman" w:cs="Times New Roman"/>
          <w:szCs w:val="21"/>
        </w:rPr>
        <w:t>1</w:t>
      </w:r>
      <w:r>
        <w:rPr>
          <w:rFonts w:ascii="Times New Roman" w:hAnsi="Times New Roman" w:cs="Times New Roman"/>
          <w:szCs w:val="21"/>
        </w:rPr>
        <w:t>5</w:t>
      </w:r>
      <w:r>
        <w:rPr>
          <w:rFonts w:asciiTheme="minorEastAsia" w:hAnsiTheme="minorEastAsia"/>
          <w:szCs w:val="21"/>
        </w:rPr>
        <w:t>：</w:t>
      </w:r>
      <w:r>
        <w:rPr>
          <w:rFonts w:hint="default" w:ascii="Times New Roman" w:hAnsi="Times New Roman" w:cs="Times New Roman"/>
          <w:szCs w:val="21"/>
        </w:rPr>
        <w:t>0</w:t>
      </w:r>
      <w:r>
        <w:rPr>
          <w:rFonts w:ascii="Times New Roman" w:hAnsi="Times New Roman" w:cs="Times New Roman"/>
          <w:szCs w:val="21"/>
        </w:rPr>
        <w:t>0</w:t>
      </w:r>
      <w:r>
        <w:rPr>
          <w:rFonts w:asciiTheme="minorEastAsia" w:hAnsiTheme="minorEastAsia"/>
          <w:szCs w:val="21"/>
        </w:rPr>
        <w:t>（认购</w:t>
      </w:r>
      <w:r>
        <w:rPr>
          <w:rFonts w:hint="default" w:ascii="Times New Roman" w:hAnsi="Times New Roman" w:cs="Times New Roman"/>
          <w:szCs w:val="21"/>
        </w:rPr>
        <w:t>1</w:t>
      </w:r>
      <w:r>
        <w:rPr>
          <w:rFonts w:ascii="Times New Roman" w:hAnsi="Times New Roman" w:cs="Times New Roman"/>
          <w:szCs w:val="21"/>
        </w:rPr>
        <w:t>7</w:t>
      </w:r>
      <w:r>
        <w:rPr>
          <w:rFonts w:asciiTheme="minorEastAsia" w:hAnsiTheme="minorEastAsia"/>
          <w:szCs w:val="21"/>
        </w:rPr>
        <w:t>：</w:t>
      </w:r>
      <w:r>
        <w:rPr>
          <w:rFonts w:hint="default" w:ascii="Times New Roman" w:hAnsi="Times New Roman" w:cs="Times New Roman"/>
          <w:szCs w:val="21"/>
        </w:rPr>
        <w:t>0</w:t>
      </w:r>
      <w:r>
        <w:rPr>
          <w:rFonts w:ascii="Times New Roman" w:hAnsi="Times New Roman" w:cs="Times New Roman"/>
          <w:szCs w:val="21"/>
        </w:rPr>
        <w:t>0</w:t>
      </w:r>
      <w:r>
        <w:rPr>
          <w:rFonts w:asciiTheme="minorEastAsia" w:hAnsiTheme="minorEastAsia"/>
          <w:szCs w:val="21"/>
        </w:rPr>
        <w:t>）前足额划转至本公司指定直销专户</w:t>
      </w:r>
      <w:r>
        <w:rPr>
          <w:rFonts w:hint="eastAsia" w:asciiTheme="minorEastAsia" w:hAnsiTheme="minorEastAsia"/>
          <w:szCs w:val="21"/>
        </w:rPr>
        <w:t>；本公司不接受除银行转账以外的其它缴款方式。</w:t>
      </w:r>
    </w:p>
    <w:p>
      <w:pPr>
        <w:snapToGrid w:val="0"/>
        <w:spacing w:line="288" w:lineRule="auto"/>
        <w:ind w:right="141" w:rightChars="67" w:firstLine="367" w:firstLineChars="175"/>
        <w:rPr>
          <w:rFonts w:asciiTheme="minorEastAsia" w:hAnsiTheme="minorEastAsia"/>
          <w:szCs w:val="21"/>
        </w:rPr>
      </w:pPr>
      <w:r>
        <w:rPr>
          <w:rFonts w:hint="default" w:ascii="Times New Roman" w:hAnsi="Times New Roman" w:cs="Times New Roman"/>
          <w:szCs w:val="21"/>
        </w:rPr>
        <w:t>2</w:t>
      </w:r>
      <w:r>
        <w:rPr>
          <w:rFonts w:hint="eastAsia" w:asciiTheme="minorEastAsia" w:hAnsiTheme="minorEastAsia"/>
          <w:szCs w:val="21"/>
        </w:rPr>
        <w:t>、直销专用银行账户</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渤海汇金直销</w:t>
      </w:r>
      <w:r>
        <w:rPr>
          <w:rFonts w:hint="eastAsia" w:asciiTheme="minorEastAsia" w:hAnsiTheme="minorEastAsia"/>
          <w:b/>
          <w:color w:val="FF0000"/>
          <w:szCs w:val="21"/>
        </w:rPr>
        <w:t>公募基金</w:t>
      </w:r>
      <w:r>
        <w:rPr>
          <w:rFonts w:hint="eastAsia" w:asciiTheme="minorEastAsia" w:hAnsiTheme="minorEastAsia"/>
          <w:szCs w:val="21"/>
        </w:rPr>
        <w:t>专用账户：</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账户名称：渤海汇金证券资产管理有限公司</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开户行：工行津西梅江支行</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 xml:space="preserve">银行账号： </w:t>
      </w:r>
      <w:r>
        <w:rPr>
          <w:rFonts w:hint="default" w:ascii="Times New Roman" w:hAnsi="Times New Roman" w:cs="Times New Roman"/>
        </w:rPr>
        <w:t>0302014429300023271</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大额支付号：</w:t>
      </w:r>
      <w:r>
        <w:rPr>
          <w:rFonts w:hint="default" w:ascii="Times New Roman" w:hAnsi="Times New Roman" w:cs="Times New Roman"/>
        </w:rPr>
        <w:t>102110001261</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渤海汇金直销</w:t>
      </w:r>
      <w:r>
        <w:rPr>
          <w:rFonts w:hint="eastAsia" w:asciiTheme="minorEastAsia" w:hAnsiTheme="minorEastAsia"/>
          <w:b/>
          <w:color w:val="FF0000"/>
          <w:szCs w:val="21"/>
        </w:rPr>
        <w:t>集合计划</w:t>
      </w:r>
      <w:r>
        <w:rPr>
          <w:rFonts w:hint="eastAsia" w:asciiTheme="minorEastAsia" w:hAnsiTheme="minorEastAsia"/>
          <w:szCs w:val="21"/>
        </w:rPr>
        <w:t>专用账户：</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账户名称：渤海汇金证券资产管理有限公司</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开户行：工行津西梅江支行</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银行账号：</w:t>
      </w:r>
      <w:r>
        <w:rPr>
          <w:rFonts w:hint="eastAsia"/>
        </w:rPr>
        <w:t xml:space="preserve"> </w:t>
      </w:r>
      <w:r>
        <w:rPr>
          <w:rFonts w:hint="default" w:ascii="Times New Roman" w:hAnsi="Times New Roman" w:cs="Times New Roman"/>
        </w:rPr>
        <w:t>0302014429300014019</w:t>
      </w:r>
    </w:p>
    <w:p>
      <w:pPr>
        <w:snapToGrid w:val="0"/>
        <w:spacing w:line="288" w:lineRule="auto"/>
        <w:ind w:right="141" w:rightChars="67" w:firstLine="367" w:firstLineChars="175"/>
      </w:pPr>
      <w:r>
        <w:rPr>
          <w:rFonts w:hint="eastAsia" w:asciiTheme="minorEastAsia" w:hAnsiTheme="minorEastAsia"/>
          <w:szCs w:val="21"/>
        </w:rPr>
        <w:t>大额支付号：</w:t>
      </w:r>
      <w:r>
        <w:rPr>
          <w:rFonts w:hint="default" w:ascii="Times New Roman" w:hAnsi="Times New Roman" w:cs="Times New Roman"/>
        </w:rPr>
        <w:t>102110001261</w:t>
      </w:r>
    </w:p>
    <w:p>
      <w:pPr>
        <w:snapToGrid w:val="0"/>
        <w:spacing w:line="288" w:lineRule="auto"/>
        <w:ind w:right="141" w:rightChars="67" w:firstLine="367" w:firstLineChars="175"/>
        <w:rPr>
          <w:rFonts w:asciiTheme="minorEastAsia" w:hAnsiTheme="minorEastAsia"/>
          <w:szCs w:val="21"/>
        </w:rPr>
      </w:pPr>
      <w:r>
        <w:rPr>
          <w:rFonts w:hint="default" w:ascii="Times New Roman" w:hAnsi="Times New Roman" w:cs="Times New Roman"/>
          <w:szCs w:val="21"/>
        </w:rPr>
        <w:t>3</w:t>
      </w:r>
      <w:r>
        <w:rPr>
          <w:rFonts w:hint="eastAsia" w:asciiTheme="minorEastAsia" w:hAnsiTheme="minorEastAsia"/>
          <w:szCs w:val="21"/>
        </w:rPr>
        <w:t>、投资者若未按上述指定账户交付，造成认（申）购无效的，本公司及清算账户的开户银行将不承担任何责任。</w:t>
      </w:r>
    </w:p>
    <w:p>
      <w:pPr>
        <w:snapToGrid w:val="0"/>
        <w:spacing w:line="288" w:lineRule="auto"/>
        <w:ind w:right="141" w:rightChars="67" w:firstLine="367" w:firstLineChars="175"/>
        <w:rPr>
          <w:rFonts w:asciiTheme="minorEastAsia" w:hAnsiTheme="minorEastAsia"/>
          <w:szCs w:val="21"/>
        </w:rPr>
      </w:pPr>
      <w:r>
        <w:rPr>
          <w:rFonts w:hint="default" w:ascii="Times New Roman" w:hAnsi="Times New Roman" w:cs="Times New Roman"/>
          <w:szCs w:val="21"/>
        </w:rPr>
        <w:t>4</w:t>
      </w:r>
      <w:r>
        <w:rPr>
          <w:rFonts w:hint="eastAsia" w:asciiTheme="minorEastAsia" w:hAnsiTheme="minorEastAsia"/>
          <w:szCs w:val="21"/>
        </w:rPr>
        <w:t>、以下资金将被视为无效认/申购，款项退往投资者的来款账户：</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w:t>
      </w:r>
      <w:r>
        <w:rPr>
          <w:rFonts w:hint="default" w:ascii="Times New Roman" w:hAnsi="Times New Roman" w:cs="Times New Roman"/>
          <w:szCs w:val="21"/>
        </w:rPr>
        <w:t>1</w:t>
      </w:r>
      <w:r>
        <w:rPr>
          <w:rFonts w:hint="eastAsia" w:asciiTheme="minorEastAsia" w:hAnsiTheme="minorEastAsia"/>
          <w:szCs w:val="21"/>
        </w:rPr>
        <w:t>） 投资者划来资金，但没有使用转账方式的；</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w:t>
      </w:r>
      <w:r>
        <w:rPr>
          <w:rFonts w:hint="default" w:ascii="Times New Roman" w:hAnsi="Times New Roman" w:cs="Times New Roman"/>
          <w:szCs w:val="21"/>
        </w:rPr>
        <w:t>2</w:t>
      </w:r>
      <w:r>
        <w:rPr>
          <w:rFonts w:hint="eastAsia" w:asciiTheme="minorEastAsia" w:hAnsiTheme="minorEastAsia"/>
          <w:szCs w:val="21"/>
        </w:rPr>
        <w:t>） 投资者划来资金，未在有效时间内交付的；</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w:t>
      </w:r>
      <w:r>
        <w:rPr>
          <w:rFonts w:hint="default" w:ascii="Times New Roman" w:hAnsi="Times New Roman" w:cs="Times New Roman"/>
          <w:szCs w:val="21"/>
        </w:rPr>
        <w:t>3</w:t>
      </w:r>
      <w:r>
        <w:rPr>
          <w:rFonts w:hint="eastAsia" w:asciiTheme="minorEastAsia" w:hAnsiTheme="minorEastAsia"/>
          <w:szCs w:val="21"/>
        </w:rPr>
        <w:t>） 投资者划来资金，但未办理认/申购手续的；</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w:t>
      </w:r>
      <w:r>
        <w:rPr>
          <w:rFonts w:hint="default" w:ascii="Times New Roman" w:hAnsi="Times New Roman" w:cs="Times New Roman"/>
          <w:szCs w:val="21"/>
        </w:rPr>
        <w:t>4</w:t>
      </w:r>
      <w:r>
        <w:rPr>
          <w:rFonts w:hint="eastAsia" w:asciiTheme="minorEastAsia" w:hAnsiTheme="minorEastAsia"/>
          <w:szCs w:val="21"/>
        </w:rPr>
        <w:t>） 投资者划来的认/申购资金少于其申请的认/申购金额的；</w:t>
      </w:r>
    </w:p>
    <w:p>
      <w:pPr>
        <w:snapToGrid w:val="0"/>
        <w:spacing w:line="288" w:lineRule="auto"/>
        <w:ind w:right="141" w:rightChars="67" w:firstLine="367" w:firstLineChars="175"/>
        <w:rPr>
          <w:rFonts w:asciiTheme="minorEastAsia" w:hAnsiTheme="minorEastAsia"/>
          <w:szCs w:val="21"/>
        </w:rPr>
      </w:pPr>
      <w:r>
        <w:rPr>
          <w:rFonts w:hint="eastAsia" w:asciiTheme="minorEastAsia" w:hAnsiTheme="minorEastAsia"/>
          <w:szCs w:val="21"/>
        </w:rPr>
        <w:t>（</w:t>
      </w:r>
      <w:r>
        <w:rPr>
          <w:rFonts w:hint="default" w:ascii="Times New Roman" w:hAnsi="Times New Roman" w:cs="Times New Roman"/>
          <w:szCs w:val="21"/>
        </w:rPr>
        <w:t>5</w:t>
      </w:r>
      <w:r>
        <w:rPr>
          <w:rFonts w:hint="eastAsia" w:asciiTheme="minorEastAsia" w:hAnsiTheme="minorEastAsia"/>
          <w:szCs w:val="21"/>
        </w:rPr>
        <w:t>） 本公司确认的其它无效资金或认/申购失败资金。</w:t>
      </w:r>
    </w:p>
    <w:p>
      <w:pPr>
        <w:snapToGrid w:val="0"/>
        <w:spacing w:line="288" w:lineRule="auto"/>
        <w:ind w:right="141" w:rightChars="67" w:firstLine="369" w:firstLineChars="175"/>
        <w:rPr>
          <w:rFonts w:asciiTheme="minorEastAsia" w:hAnsiTheme="minorEastAsia"/>
          <w:b/>
          <w:bCs/>
          <w:szCs w:val="21"/>
        </w:rPr>
      </w:pPr>
      <w:r>
        <w:rPr>
          <w:rFonts w:hint="eastAsia" w:asciiTheme="minorEastAsia" w:hAnsiTheme="minorEastAsia"/>
          <w:b/>
          <w:bCs/>
          <w:szCs w:val="21"/>
        </w:rPr>
        <w:t>（二）提交认/申购申请：</w:t>
      </w:r>
    </w:p>
    <w:p>
      <w:pPr>
        <w:snapToGrid w:val="0"/>
        <w:spacing w:line="288" w:lineRule="auto"/>
        <w:ind w:right="141" w:rightChars="67" w:firstLine="367" w:firstLineChars="175"/>
        <w:rPr>
          <w:rFonts w:asciiTheme="minorEastAsia" w:hAnsiTheme="minorEastAsia"/>
          <w:szCs w:val="21"/>
        </w:rPr>
      </w:pPr>
      <w:r>
        <w:rPr>
          <w:rFonts w:hint="default" w:ascii="Times New Roman" w:hAnsi="Times New Roman" w:cs="Times New Roman"/>
          <w:szCs w:val="21"/>
        </w:rPr>
        <w:t>1</w:t>
      </w:r>
      <w:r>
        <w:rPr>
          <w:rFonts w:hint="eastAsia" w:asciiTheme="minorEastAsia" w:hAnsiTheme="minorEastAsia"/>
          <w:szCs w:val="21"/>
        </w:rPr>
        <w:t>、本人身份证；</w:t>
      </w:r>
    </w:p>
    <w:p>
      <w:pPr>
        <w:snapToGrid w:val="0"/>
        <w:spacing w:line="288" w:lineRule="auto"/>
        <w:ind w:right="141" w:rightChars="67" w:firstLine="367" w:firstLineChars="175"/>
        <w:rPr>
          <w:rFonts w:asciiTheme="minorEastAsia" w:hAnsiTheme="minorEastAsia"/>
          <w:szCs w:val="21"/>
        </w:rPr>
      </w:pPr>
      <w:r>
        <w:rPr>
          <w:rFonts w:ascii="Times New Roman" w:hAnsi="Times New Roman" w:cs="Times New Roman"/>
          <w:szCs w:val="21"/>
        </w:rPr>
        <w:t>2</w:t>
      </w:r>
      <w:r>
        <w:rPr>
          <w:rFonts w:hint="eastAsia" w:asciiTheme="minorEastAsia" w:hAnsiTheme="minorEastAsia"/>
          <w:szCs w:val="21"/>
        </w:rPr>
        <w:t>、填写合格并签字的《交易类业务申请表》-个人版；</w:t>
      </w:r>
    </w:p>
    <w:p>
      <w:pPr>
        <w:snapToGrid w:val="0"/>
        <w:spacing w:line="288" w:lineRule="auto"/>
        <w:ind w:right="141" w:rightChars="67" w:firstLine="367" w:firstLineChars="175"/>
        <w:rPr>
          <w:rFonts w:asciiTheme="minorEastAsia" w:hAnsiTheme="minorEastAsia"/>
          <w:szCs w:val="21"/>
        </w:rPr>
      </w:pPr>
      <w:r>
        <w:rPr>
          <w:rFonts w:ascii="Times New Roman" w:hAnsi="Times New Roman" w:cs="Times New Roman"/>
          <w:szCs w:val="21"/>
        </w:rPr>
        <w:t>3</w:t>
      </w:r>
      <w:r>
        <w:rPr>
          <w:rFonts w:hint="eastAsia" w:asciiTheme="minorEastAsia" w:hAnsiTheme="minorEastAsia"/>
          <w:szCs w:val="21"/>
        </w:rPr>
        <w:t>、合格投资者证明文件（如购买集合资产管理计划）；</w:t>
      </w:r>
    </w:p>
    <w:p>
      <w:pPr>
        <w:snapToGrid w:val="0"/>
        <w:spacing w:line="288" w:lineRule="auto"/>
        <w:ind w:right="141" w:rightChars="67" w:firstLine="367" w:firstLineChars="175"/>
        <w:rPr>
          <w:rFonts w:asciiTheme="minorEastAsia" w:hAnsiTheme="minorEastAsia"/>
          <w:szCs w:val="21"/>
        </w:rPr>
      </w:pPr>
      <w:r>
        <w:rPr>
          <w:rFonts w:ascii="Times New Roman" w:hAnsi="Times New Roman" w:cs="Times New Roman"/>
          <w:szCs w:val="21"/>
        </w:rPr>
        <w:t>4</w:t>
      </w:r>
      <w:r>
        <w:rPr>
          <w:rFonts w:hint="eastAsia" w:asciiTheme="minorEastAsia" w:hAnsiTheme="minorEastAsia"/>
          <w:szCs w:val="21"/>
        </w:rPr>
        <w:t>、签署产品风险揭示书（如购买集合资产管理计划）；</w:t>
      </w:r>
    </w:p>
    <w:p>
      <w:pPr>
        <w:snapToGrid w:val="0"/>
        <w:spacing w:line="288" w:lineRule="auto"/>
        <w:ind w:right="141" w:rightChars="67" w:firstLine="367" w:firstLineChars="175"/>
        <w:rPr>
          <w:rFonts w:asciiTheme="minorEastAsia" w:hAnsiTheme="minorEastAsia"/>
          <w:szCs w:val="21"/>
        </w:rPr>
      </w:pPr>
      <w:r>
        <w:rPr>
          <w:rFonts w:ascii="Times New Roman" w:hAnsi="Times New Roman" w:cs="Times New Roman"/>
          <w:szCs w:val="21"/>
        </w:rPr>
        <w:t>5</w:t>
      </w:r>
      <w:r>
        <w:rPr>
          <w:rFonts w:hint="eastAsia" w:asciiTheme="minorEastAsia" w:hAnsiTheme="minorEastAsia"/>
          <w:szCs w:val="21"/>
        </w:rPr>
        <w:t>、认/申购时，如普通投资者风险承受能力测评超过有效期，需重新提交填妥并签字的《投资人风险承受能力评估问卷（个人）》及《普通投资者风险承受能力评估结果及适当性匹配确认书》；</w:t>
      </w:r>
    </w:p>
    <w:p>
      <w:pPr>
        <w:snapToGrid w:val="0"/>
        <w:spacing w:line="288" w:lineRule="auto"/>
        <w:ind w:right="141" w:rightChars="67" w:firstLine="367" w:firstLineChars="175"/>
        <w:rPr>
          <w:rFonts w:asciiTheme="minorEastAsia" w:hAnsiTheme="minorEastAsia"/>
          <w:szCs w:val="21"/>
        </w:rPr>
      </w:pPr>
      <w:r>
        <w:rPr>
          <w:rFonts w:ascii="Times New Roman" w:hAnsi="Times New Roman" w:cs="Times New Roman"/>
          <w:szCs w:val="21"/>
        </w:rPr>
        <w:t>6</w:t>
      </w:r>
      <w:r>
        <w:rPr>
          <w:rFonts w:hint="eastAsia" w:asciiTheme="minorEastAsia" w:hAnsiTheme="minorEastAsia"/>
          <w:szCs w:val="21"/>
        </w:rPr>
        <w:t>、本公司要求提供的其他材料。</w:t>
      </w:r>
    </w:p>
    <w:p>
      <w:pPr>
        <w:snapToGrid w:val="0"/>
        <w:spacing w:line="288" w:lineRule="auto"/>
        <w:ind w:right="141" w:rightChars="67" w:firstLine="369" w:firstLineChars="175"/>
        <w:rPr>
          <w:rFonts w:asciiTheme="minorEastAsia" w:hAnsiTheme="minorEastAsia"/>
          <w:b/>
          <w:bCs/>
          <w:szCs w:val="21"/>
        </w:rPr>
      </w:pPr>
      <w:r>
        <w:rPr>
          <w:rFonts w:hint="eastAsia" w:asciiTheme="minorEastAsia" w:hAnsiTheme="minorEastAsia"/>
          <w:b/>
          <w:bCs/>
          <w:szCs w:val="21"/>
        </w:rPr>
        <w:t>（三）赎回业务：</w:t>
      </w:r>
    </w:p>
    <w:p>
      <w:pPr>
        <w:snapToGrid w:val="0"/>
        <w:spacing w:line="288" w:lineRule="auto"/>
        <w:ind w:right="141" w:rightChars="67" w:firstLine="367" w:firstLineChars="175"/>
        <w:rPr>
          <w:rFonts w:asciiTheme="minorEastAsia" w:hAnsiTheme="minorEastAsia"/>
          <w:szCs w:val="21"/>
        </w:rPr>
      </w:pPr>
      <w:r>
        <w:rPr>
          <w:rFonts w:hint="default" w:ascii="Times New Roman" w:hAnsi="Times New Roman" w:cs="Times New Roman"/>
          <w:szCs w:val="21"/>
        </w:rPr>
        <w:t>1</w:t>
      </w:r>
      <w:r>
        <w:rPr>
          <w:rFonts w:hint="eastAsia" w:asciiTheme="minorEastAsia" w:hAnsiTheme="minorEastAsia"/>
          <w:szCs w:val="21"/>
        </w:rPr>
        <w:t>、本人身份证；</w:t>
      </w:r>
    </w:p>
    <w:p>
      <w:pPr>
        <w:snapToGrid w:val="0"/>
        <w:spacing w:line="288" w:lineRule="auto"/>
        <w:ind w:right="141" w:rightChars="67" w:firstLine="367" w:firstLineChars="175"/>
        <w:rPr>
          <w:rFonts w:asciiTheme="minorEastAsia" w:hAnsiTheme="minorEastAsia"/>
          <w:szCs w:val="21"/>
        </w:rPr>
      </w:pPr>
      <w:r>
        <w:rPr>
          <w:rFonts w:hint="default" w:ascii="Times New Roman" w:hAnsi="Times New Roman" w:cs="Times New Roman"/>
          <w:szCs w:val="21"/>
        </w:rPr>
        <w:t>2</w:t>
      </w:r>
      <w:r>
        <w:rPr>
          <w:rFonts w:hint="eastAsia" w:asciiTheme="minorEastAsia" w:hAnsiTheme="minorEastAsia"/>
          <w:szCs w:val="21"/>
        </w:rPr>
        <w:t>、提供填写合格并签字的《交易类业务申请表》-个人版；</w:t>
      </w:r>
    </w:p>
    <w:p>
      <w:pPr>
        <w:snapToGrid w:val="0"/>
        <w:spacing w:line="288" w:lineRule="auto"/>
        <w:ind w:right="141" w:rightChars="67" w:firstLine="369" w:firstLineChars="175"/>
        <w:rPr>
          <w:rFonts w:asciiTheme="minorEastAsia" w:hAnsiTheme="minorEastAsia"/>
          <w:b/>
          <w:bCs/>
          <w:szCs w:val="21"/>
        </w:rPr>
      </w:pPr>
      <w:r>
        <w:rPr>
          <w:rFonts w:hint="eastAsia" w:asciiTheme="minorEastAsia" w:hAnsiTheme="minorEastAsia"/>
          <w:b/>
          <w:bCs/>
          <w:szCs w:val="21"/>
        </w:rPr>
        <w:t>（四）设置分红方式、撤销交易申请、转托管：</w:t>
      </w:r>
    </w:p>
    <w:p>
      <w:pPr>
        <w:snapToGrid w:val="0"/>
        <w:spacing w:line="288" w:lineRule="auto"/>
        <w:ind w:right="141" w:rightChars="67" w:firstLine="367" w:firstLineChars="175"/>
        <w:rPr>
          <w:rFonts w:asciiTheme="minorEastAsia" w:hAnsiTheme="minorEastAsia"/>
          <w:szCs w:val="21"/>
        </w:rPr>
      </w:pPr>
      <w:r>
        <w:rPr>
          <w:rFonts w:hint="default" w:ascii="Times New Roman" w:hAnsi="Times New Roman" w:cs="Times New Roman"/>
          <w:szCs w:val="21"/>
        </w:rPr>
        <w:t>1</w:t>
      </w:r>
      <w:r>
        <w:rPr>
          <w:rFonts w:hint="eastAsia" w:asciiTheme="minorEastAsia" w:hAnsiTheme="minorEastAsia"/>
          <w:szCs w:val="21"/>
        </w:rPr>
        <w:t>、本人身份证；</w:t>
      </w:r>
    </w:p>
    <w:p>
      <w:pPr>
        <w:snapToGrid w:val="0"/>
        <w:spacing w:line="288" w:lineRule="auto"/>
        <w:ind w:right="141" w:rightChars="67" w:firstLine="367" w:firstLineChars="175"/>
        <w:rPr>
          <w:rFonts w:asciiTheme="minorEastAsia" w:hAnsiTheme="minorEastAsia"/>
          <w:szCs w:val="21"/>
        </w:rPr>
      </w:pPr>
      <w:r>
        <w:rPr>
          <w:rFonts w:hint="default" w:ascii="Times New Roman" w:hAnsi="Times New Roman" w:cs="Times New Roman"/>
          <w:szCs w:val="21"/>
        </w:rPr>
        <w:t>2</w:t>
      </w:r>
      <w:r>
        <w:rPr>
          <w:rFonts w:hint="eastAsia" w:asciiTheme="minorEastAsia" w:hAnsiTheme="minorEastAsia"/>
          <w:szCs w:val="21"/>
        </w:rPr>
        <w:t>、提供填妥并签字的《交易类业务申请表》-个人版。</w:t>
      </w:r>
    </w:p>
    <w:p>
      <w:pPr>
        <w:snapToGrid w:val="0"/>
        <w:spacing w:line="288" w:lineRule="auto"/>
        <w:ind w:right="141" w:rightChars="67" w:firstLine="422" w:firstLineChars="175"/>
        <w:rPr>
          <w:rFonts w:asciiTheme="minorEastAsia" w:hAnsiTheme="minorEastAsia"/>
          <w:b/>
          <w:bCs/>
          <w:sz w:val="24"/>
          <w:szCs w:val="24"/>
        </w:rPr>
      </w:pPr>
    </w:p>
    <w:p>
      <w:pPr>
        <w:snapToGrid w:val="0"/>
        <w:spacing w:line="288" w:lineRule="auto"/>
        <w:ind w:right="141" w:rightChars="67" w:firstLine="422" w:firstLineChars="175"/>
        <w:rPr>
          <w:rFonts w:asciiTheme="minorEastAsia" w:hAnsiTheme="minorEastAsia"/>
          <w:b/>
          <w:bCs/>
          <w:sz w:val="24"/>
          <w:szCs w:val="24"/>
        </w:rPr>
      </w:pPr>
      <w:r>
        <w:rPr>
          <w:rFonts w:hint="eastAsia" w:asciiTheme="minorEastAsia" w:hAnsiTheme="minorEastAsia"/>
          <w:b/>
          <w:bCs/>
          <w:sz w:val="24"/>
          <w:szCs w:val="24"/>
        </w:rPr>
        <w:t>五、合格投资者认定标准</w:t>
      </w:r>
    </w:p>
    <w:p>
      <w:pPr>
        <w:snapToGrid w:val="0"/>
        <w:spacing w:line="288" w:lineRule="auto"/>
        <w:ind w:right="141" w:rightChars="67" w:firstLine="367" w:firstLineChars="175"/>
        <w:rPr>
          <w:rFonts w:asciiTheme="minorEastAsia" w:hAnsiTheme="minorEastAsia"/>
          <w:szCs w:val="21"/>
        </w:rPr>
      </w:pPr>
      <w:r>
        <w:rPr>
          <w:rFonts w:hint="default" w:ascii="Times New Roman" w:hAnsi="Times New Roman" w:cs="Times New Roman"/>
          <w:szCs w:val="21"/>
        </w:rPr>
        <w:t>1</w:t>
      </w:r>
      <w:r>
        <w:rPr>
          <w:rFonts w:asciiTheme="minorEastAsia" w:hAnsiTheme="minorEastAsia"/>
          <w:szCs w:val="21"/>
        </w:rPr>
        <w:t>、具有</w:t>
      </w:r>
      <w:r>
        <w:rPr>
          <w:rFonts w:ascii="Times New Roman" w:hAnsi="Times New Roman" w:cs="Times New Roman"/>
          <w:szCs w:val="21"/>
        </w:rPr>
        <w:t>2</w:t>
      </w:r>
      <w:r>
        <w:rPr>
          <w:rFonts w:asciiTheme="minorEastAsia" w:hAnsiTheme="minorEastAsia"/>
          <w:szCs w:val="21"/>
        </w:rPr>
        <w:t>年以上投资经历，且满足以下条件之一</w:t>
      </w:r>
      <w:r>
        <w:rPr>
          <w:rFonts w:hint="eastAsia" w:asciiTheme="minorEastAsia" w:hAnsiTheme="minorEastAsia"/>
          <w:szCs w:val="21"/>
        </w:rPr>
        <w:t>自然人</w:t>
      </w:r>
      <w:r>
        <w:rPr>
          <w:rFonts w:asciiTheme="minorEastAsia" w:hAnsiTheme="minorEastAsia"/>
          <w:szCs w:val="21"/>
        </w:rPr>
        <w:t>：家庭金融净资产不低于</w:t>
      </w:r>
      <w:r>
        <w:rPr>
          <w:rFonts w:ascii="Times New Roman" w:hAnsi="Times New Roman" w:cs="Times New Roman"/>
          <w:szCs w:val="21"/>
        </w:rPr>
        <w:t>300</w:t>
      </w:r>
      <w:r>
        <w:rPr>
          <w:rFonts w:asciiTheme="minorEastAsia" w:hAnsiTheme="minorEastAsia"/>
          <w:szCs w:val="21"/>
        </w:rPr>
        <w:t>万元，家庭金融资产不低于</w:t>
      </w:r>
      <w:r>
        <w:rPr>
          <w:rFonts w:ascii="Times New Roman" w:hAnsi="Times New Roman" w:cs="Times New Roman"/>
          <w:szCs w:val="21"/>
        </w:rPr>
        <w:t>500</w:t>
      </w:r>
      <w:r>
        <w:rPr>
          <w:rFonts w:asciiTheme="minorEastAsia" w:hAnsiTheme="minorEastAsia"/>
          <w:szCs w:val="21"/>
        </w:rPr>
        <w:t>万元，或者近</w:t>
      </w:r>
      <w:r>
        <w:rPr>
          <w:rFonts w:ascii="Times New Roman" w:hAnsi="Times New Roman" w:cs="Times New Roman"/>
          <w:szCs w:val="21"/>
        </w:rPr>
        <w:t>3</w:t>
      </w:r>
      <w:r>
        <w:rPr>
          <w:rFonts w:asciiTheme="minorEastAsia" w:hAnsiTheme="minorEastAsia"/>
          <w:szCs w:val="21"/>
        </w:rPr>
        <w:t>年本人年均收入不低于</w:t>
      </w:r>
      <w:r>
        <w:rPr>
          <w:rFonts w:ascii="Times New Roman" w:hAnsi="Times New Roman" w:cs="Times New Roman"/>
          <w:szCs w:val="21"/>
        </w:rPr>
        <w:t>40</w:t>
      </w:r>
      <w:r>
        <w:rPr>
          <w:rFonts w:asciiTheme="minorEastAsia" w:hAnsiTheme="minorEastAsia"/>
          <w:szCs w:val="21"/>
        </w:rPr>
        <w:t>万元。</w:t>
      </w:r>
    </w:p>
    <w:p>
      <w:pPr>
        <w:snapToGrid w:val="0"/>
        <w:spacing w:line="288" w:lineRule="auto"/>
        <w:ind w:right="141" w:rightChars="67" w:firstLine="367" w:firstLineChars="175"/>
        <w:rPr>
          <w:rFonts w:asciiTheme="minorEastAsia" w:hAnsiTheme="minorEastAsia"/>
          <w:szCs w:val="21"/>
        </w:rPr>
      </w:pPr>
      <w:r>
        <w:rPr>
          <w:rFonts w:hint="default" w:ascii="Times New Roman" w:hAnsi="Times New Roman" w:cs="Times New Roman"/>
          <w:szCs w:val="21"/>
        </w:rPr>
        <w:t>2</w:t>
      </w:r>
      <w:r>
        <w:rPr>
          <w:rFonts w:asciiTheme="minorEastAsia" w:hAnsiTheme="minorEastAsia"/>
          <w:szCs w:val="21"/>
        </w:rPr>
        <w:t>、中国证监会视为合格投资者的其他情形。</w:t>
      </w:r>
    </w:p>
    <w:p>
      <w:pPr>
        <w:snapToGrid w:val="0"/>
        <w:spacing w:line="288" w:lineRule="auto"/>
        <w:ind w:right="141" w:rightChars="67" w:firstLine="367" w:firstLineChars="175"/>
        <w:rPr>
          <w:rFonts w:asciiTheme="minorEastAsia" w:hAnsiTheme="minorEastAsia"/>
          <w:szCs w:val="21"/>
        </w:rPr>
      </w:pPr>
      <w:r>
        <w:rPr>
          <w:rFonts w:asciiTheme="minorEastAsia" w:hAnsiTheme="minorEastAsia"/>
          <w:szCs w:val="21"/>
        </w:rPr>
        <w:t>合格投资者投资于单只固定收益类产品的金额不低于</w:t>
      </w:r>
      <w:r>
        <w:rPr>
          <w:rFonts w:ascii="Times New Roman" w:hAnsi="Times New Roman" w:cs="Times New Roman"/>
          <w:szCs w:val="21"/>
        </w:rPr>
        <w:t>30</w:t>
      </w:r>
      <w:r>
        <w:rPr>
          <w:rFonts w:asciiTheme="minorEastAsia" w:hAnsiTheme="minorEastAsia"/>
          <w:szCs w:val="21"/>
        </w:rPr>
        <w:t>万元，投资于单只混合类产品的金额不低于</w:t>
      </w:r>
      <w:r>
        <w:rPr>
          <w:rFonts w:ascii="Times New Roman" w:hAnsi="Times New Roman" w:cs="Times New Roman"/>
          <w:szCs w:val="21"/>
        </w:rPr>
        <w:t>40</w:t>
      </w:r>
      <w:r>
        <w:rPr>
          <w:rFonts w:asciiTheme="minorEastAsia" w:hAnsiTheme="minorEastAsia"/>
          <w:szCs w:val="21"/>
        </w:rPr>
        <w:t>万元，投资于单只权益类产品、单只商品及金融衍生品类产品的金额不低于</w:t>
      </w:r>
      <w:r>
        <w:rPr>
          <w:rFonts w:ascii="Times New Roman" w:hAnsi="Times New Roman" w:cs="Times New Roman"/>
          <w:szCs w:val="21"/>
        </w:rPr>
        <w:t>100</w:t>
      </w:r>
      <w:r>
        <w:rPr>
          <w:rFonts w:asciiTheme="minorEastAsia" w:hAnsiTheme="minorEastAsia"/>
          <w:szCs w:val="21"/>
        </w:rPr>
        <w:t>万元。投资于《证券期货经营机构私募资产管理业务管理办法》第三十</w:t>
      </w:r>
      <w:r>
        <w:rPr>
          <w:rFonts w:hint="eastAsia" w:asciiTheme="minorEastAsia" w:hAnsiTheme="minorEastAsia"/>
          <w:szCs w:val="21"/>
        </w:rPr>
        <w:t>八</w:t>
      </w:r>
      <w:r>
        <w:rPr>
          <w:rFonts w:asciiTheme="minorEastAsia" w:hAnsiTheme="minorEastAsia"/>
          <w:szCs w:val="21"/>
        </w:rPr>
        <w:t>条第（五）项规定的非标准化资产的，接受单个合格投资者委托资金的金额不低于</w:t>
      </w:r>
      <w:r>
        <w:rPr>
          <w:rFonts w:ascii="Times New Roman" w:hAnsi="Times New Roman" w:cs="Times New Roman"/>
          <w:szCs w:val="21"/>
        </w:rPr>
        <w:t>100</w:t>
      </w:r>
      <w:r>
        <w:rPr>
          <w:rFonts w:asciiTheme="minorEastAsia" w:hAnsiTheme="minorEastAsia"/>
          <w:szCs w:val="21"/>
        </w:rPr>
        <w:t>万元。</w:t>
      </w:r>
    </w:p>
    <w:p>
      <w:pPr>
        <w:snapToGrid w:val="0"/>
        <w:spacing w:line="288" w:lineRule="auto"/>
        <w:ind w:left="368" w:leftChars="175" w:right="141" w:rightChars="67"/>
        <w:rPr>
          <w:rFonts w:asciiTheme="minorEastAsia" w:hAnsiTheme="minorEastAsia"/>
          <w:b/>
          <w:bCs/>
          <w:sz w:val="24"/>
          <w:szCs w:val="24"/>
        </w:rPr>
      </w:pPr>
    </w:p>
    <w:p>
      <w:pPr>
        <w:snapToGrid w:val="0"/>
        <w:spacing w:line="288" w:lineRule="auto"/>
        <w:ind w:left="368" w:leftChars="175" w:right="141" w:rightChars="67"/>
        <w:rPr>
          <w:rFonts w:asciiTheme="minorEastAsia" w:hAnsiTheme="minorEastAsia"/>
          <w:b/>
          <w:bCs/>
          <w:sz w:val="24"/>
          <w:szCs w:val="24"/>
        </w:rPr>
      </w:pPr>
      <w:r>
        <w:rPr>
          <w:rFonts w:hint="eastAsia" w:asciiTheme="minorEastAsia" w:hAnsiTheme="minorEastAsia"/>
          <w:b/>
          <w:bCs/>
          <w:sz w:val="24"/>
          <w:szCs w:val="24"/>
        </w:rPr>
        <w:t>六、专业投资者认定标准</w:t>
      </w:r>
    </w:p>
    <w:p>
      <w:pPr>
        <w:snapToGrid w:val="0"/>
        <w:spacing w:line="288" w:lineRule="auto"/>
        <w:ind w:right="141" w:rightChars="67" w:firstLine="367" w:firstLineChars="175"/>
        <w:rPr>
          <w:rFonts w:asciiTheme="minorEastAsia" w:hAnsiTheme="minorEastAsia"/>
          <w:szCs w:val="21"/>
        </w:rPr>
      </w:pPr>
      <w:r>
        <w:rPr>
          <w:rFonts w:ascii="Times New Roman" w:hAnsi="Times New Roman" w:cs="Times New Roman"/>
          <w:szCs w:val="21"/>
        </w:rPr>
        <w:t>E</w:t>
      </w:r>
      <w:r>
        <w:rPr>
          <w:rFonts w:asciiTheme="minorEastAsia" w:hAnsiTheme="minorEastAsia"/>
          <w:szCs w:val="21"/>
        </w:rPr>
        <w:t>类专业投资者：同时符合下列条件的自然人：</w:t>
      </w:r>
    </w:p>
    <w:p>
      <w:pPr>
        <w:snapToGrid w:val="0"/>
        <w:spacing w:line="288" w:lineRule="auto"/>
        <w:ind w:right="141" w:rightChars="67" w:firstLine="367" w:firstLineChars="175"/>
        <w:rPr>
          <w:rFonts w:asciiTheme="minorEastAsia" w:hAnsiTheme="minorEastAsia"/>
          <w:szCs w:val="21"/>
        </w:rPr>
      </w:pPr>
      <w:r>
        <w:rPr>
          <w:rFonts w:ascii="Times New Roman" w:hAnsi="Times New Roman" w:cs="Times New Roman"/>
          <w:szCs w:val="21"/>
        </w:rPr>
        <w:t>1</w:t>
      </w:r>
      <w:r>
        <w:rPr>
          <w:rFonts w:asciiTheme="minorEastAsia" w:hAnsiTheme="minorEastAsia"/>
          <w:szCs w:val="21"/>
        </w:rPr>
        <w:t>.金融资产（指银行存款、股票、债券、基金份额、资产管理计划、银行理财产品、信托计划、保险产品、期货及其他衍生产品等）不低于</w:t>
      </w:r>
      <w:r>
        <w:rPr>
          <w:rFonts w:ascii="Times New Roman" w:hAnsi="Times New Roman" w:cs="Times New Roman"/>
          <w:szCs w:val="21"/>
        </w:rPr>
        <w:t>500</w:t>
      </w:r>
      <w:r>
        <w:rPr>
          <w:rFonts w:asciiTheme="minorEastAsia" w:hAnsiTheme="minorEastAsia"/>
          <w:szCs w:val="21"/>
        </w:rPr>
        <w:t>万元，或者最近</w:t>
      </w:r>
      <w:r>
        <w:rPr>
          <w:rFonts w:ascii="Times New Roman" w:hAnsi="Times New Roman" w:cs="Times New Roman"/>
          <w:szCs w:val="21"/>
        </w:rPr>
        <w:t>3</w:t>
      </w:r>
      <w:r>
        <w:rPr>
          <w:rFonts w:asciiTheme="minorEastAsia" w:hAnsiTheme="minorEastAsia"/>
          <w:szCs w:val="21"/>
        </w:rPr>
        <w:t xml:space="preserve"> 年个人年均收入不低于</w:t>
      </w:r>
      <w:r>
        <w:rPr>
          <w:rFonts w:ascii="Times New Roman" w:hAnsi="Times New Roman" w:cs="Times New Roman"/>
          <w:szCs w:val="21"/>
        </w:rPr>
        <w:t>50</w:t>
      </w:r>
      <w:r>
        <w:rPr>
          <w:rFonts w:asciiTheme="minorEastAsia" w:hAnsiTheme="minorEastAsia"/>
          <w:szCs w:val="21"/>
        </w:rPr>
        <w:t>万元；</w:t>
      </w:r>
    </w:p>
    <w:p>
      <w:pPr>
        <w:snapToGrid w:val="0"/>
        <w:spacing w:line="288" w:lineRule="auto"/>
        <w:ind w:right="141" w:rightChars="67" w:firstLine="367" w:firstLineChars="175"/>
        <w:rPr>
          <w:rFonts w:asciiTheme="minorEastAsia" w:hAnsiTheme="minorEastAsia"/>
          <w:szCs w:val="21"/>
        </w:rPr>
      </w:pPr>
      <w:r>
        <w:rPr>
          <w:rFonts w:ascii="Times New Roman" w:hAnsi="Times New Roman" w:cs="Times New Roman"/>
          <w:szCs w:val="21"/>
        </w:rPr>
        <w:t>2</w:t>
      </w:r>
      <w:r>
        <w:rPr>
          <w:rFonts w:asciiTheme="minorEastAsia" w:hAnsiTheme="minorEastAsia"/>
          <w:szCs w:val="21"/>
        </w:rPr>
        <w:t>.具有</w:t>
      </w:r>
      <w:r>
        <w:rPr>
          <w:rFonts w:ascii="Times New Roman" w:hAnsi="Times New Roman" w:cs="Times New Roman"/>
          <w:szCs w:val="21"/>
        </w:rPr>
        <w:t>2</w:t>
      </w:r>
      <w:r>
        <w:rPr>
          <w:rFonts w:asciiTheme="minorEastAsia" w:hAnsiTheme="minorEastAsia"/>
          <w:szCs w:val="21"/>
        </w:rPr>
        <w:t>年以上证券、基金、期货、黄金、外汇等投资经历，或者具有</w:t>
      </w:r>
      <w:r>
        <w:rPr>
          <w:rFonts w:ascii="Times New Roman" w:hAnsi="Times New Roman" w:cs="Times New Roman"/>
          <w:szCs w:val="21"/>
        </w:rPr>
        <w:t>2</w:t>
      </w:r>
      <w:r>
        <w:rPr>
          <w:rFonts w:asciiTheme="minorEastAsia" w:hAnsiTheme="minorEastAsia"/>
          <w:szCs w:val="21"/>
        </w:rPr>
        <w:t>年以上金融产品设计、投资、风险管理及相关工作经历，或者属于</w:t>
      </w:r>
      <w:r>
        <w:rPr>
          <w:rFonts w:hint="eastAsia" w:asciiTheme="minorEastAsia" w:hAnsiTheme="minorEastAsia"/>
          <w:szCs w:val="21"/>
        </w:rPr>
        <w:t>《证券期货投资者适当性管理办法》第八</w:t>
      </w:r>
      <w:r>
        <w:rPr>
          <w:rFonts w:asciiTheme="minorEastAsia" w:hAnsiTheme="minorEastAsia"/>
          <w:szCs w:val="21"/>
        </w:rPr>
        <w:t>条第（一）项规定的专业投资者的高级管理人员、获得职业资格认证的从事金融相关业务的注册会计师和律师。</w:t>
      </w:r>
    </w:p>
    <w:p>
      <w:pPr>
        <w:snapToGrid w:val="0"/>
        <w:spacing w:line="288" w:lineRule="auto"/>
        <w:ind w:right="141" w:rightChars="67" w:firstLine="422" w:firstLineChars="175"/>
        <w:rPr>
          <w:rFonts w:asciiTheme="minorEastAsia" w:hAnsiTheme="minorEastAsia"/>
          <w:b/>
          <w:sz w:val="24"/>
          <w:szCs w:val="24"/>
        </w:rPr>
      </w:pPr>
    </w:p>
    <w:p>
      <w:pPr>
        <w:snapToGrid w:val="0"/>
        <w:spacing w:line="288" w:lineRule="auto"/>
        <w:ind w:right="141" w:rightChars="67" w:firstLine="422" w:firstLineChars="175"/>
        <w:rPr>
          <w:rFonts w:asciiTheme="minorEastAsia" w:hAnsiTheme="minorEastAsia"/>
          <w:b/>
          <w:sz w:val="24"/>
          <w:szCs w:val="24"/>
        </w:rPr>
      </w:pPr>
      <w:r>
        <w:rPr>
          <w:rFonts w:hint="eastAsia" w:asciiTheme="minorEastAsia" w:hAnsiTheme="minorEastAsia"/>
          <w:b/>
          <w:sz w:val="24"/>
          <w:szCs w:val="24"/>
        </w:rPr>
        <w:t>七</w:t>
      </w:r>
      <w:r>
        <w:rPr>
          <w:rFonts w:asciiTheme="minorEastAsia" w:hAnsiTheme="minorEastAsia"/>
          <w:b/>
          <w:sz w:val="24"/>
          <w:szCs w:val="24"/>
        </w:rPr>
        <w:t>、</w:t>
      </w:r>
      <w:r>
        <w:rPr>
          <w:rFonts w:hint="eastAsia" w:asciiTheme="minorEastAsia" w:hAnsiTheme="minorEastAsia"/>
          <w:b/>
          <w:sz w:val="24"/>
          <w:szCs w:val="24"/>
        </w:rPr>
        <w:t>注意事项：</w:t>
      </w:r>
    </w:p>
    <w:p>
      <w:pPr>
        <w:snapToGrid w:val="0"/>
        <w:spacing w:line="288" w:lineRule="auto"/>
        <w:ind w:firstLine="367" w:firstLineChars="175"/>
        <w:rPr>
          <w:rFonts w:asciiTheme="minorEastAsia" w:hAnsiTheme="minorEastAsia"/>
          <w:szCs w:val="21"/>
        </w:rPr>
      </w:pPr>
      <w:r>
        <w:rPr>
          <w:rFonts w:hint="default" w:ascii="Times New Roman" w:hAnsi="Times New Roman" w:cs="Times New Roman"/>
          <w:szCs w:val="21"/>
        </w:rPr>
        <w:t>1</w:t>
      </w:r>
      <w:r>
        <w:rPr>
          <w:rFonts w:hint="eastAsia" w:asciiTheme="minorEastAsia" w:hAnsiTheme="minorEastAsia"/>
          <w:szCs w:val="21"/>
        </w:rPr>
        <w:t>、本公司管理的产品根据有关法律法规的规定设立，但中国证监会等监管机构对本产品作出的任何决定，均不表明其对本产品的价值和收益做出实质性判断和保证，亦不表明投资于本产品没有风险</w:t>
      </w:r>
    </w:p>
    <w:p>
      <w:pPr>
        <w:snapToGrid w:val="0"/>
        <w:spacing w:line="288" w:lineRule="auto"/>
        <w:ind w:firstLine="367" w:firstLineChars="175"/>
        <w:rPr>
          <w:rFonts w:asciiTheme="minorEastAsia" w:hAnsiTheme="minorEastAsia"/>
          <w:szCs w:val="21"/>
        </w:rPr>
      </w:pPr>
      <w:r>
        <w:rPr>
          <w:rFonts w:hint="default" w:ascii="Times New Roman" w:hAnsi="Times New Roman" w:cs="Times New Roman"/>
          <w:szCs w:val="21"/>
        </w:rPr>
        <w:t>2</w:t>
      </w:r>
      <w:r>
        <w:rPr>
          <w:rFonts w:hint="eastAsia" w:asciiTheme="minorEastAsia" w:hAnsiTheme="minorEastAsia"/>
          <w:szCs w:val="21"/>
        </w:rPr>
        <w:t>、开立基金账户的投资者应为中华人民共和国法律、法规规定的合法投资者，且同一投资者在同一个注册登记机构只可申请开立一个基金账户。投资者递交相关申请表，即表明其已同意并接受本公司有关基金及资产管理计划业务的相关规定。</w:t>
      </w:r>
    </w:p>
    <w:p>
      <w:pPr>
        <w:snapToGrid w:val="0"/>
        <w:spacing w:line="288" w:lineRule="auto"/>
        <w:ind w:firstLine="367" w:firstLineChars="175"/>
        <w:rPr>
          <w:rFonts w:asciiTheme="minorEastAsia" w:hAnsiTheme="minorEastAsia"/>
          <w:szCs w:val="21"/>
        </w:rPr>
      </w:pPr>
      <w:r>
        <w:rPr>
          <w:rFonts w:ascii="Times New Roman" w:hAnsi="Times New Roman" w:cs="Times New Roman"/>
          <w:szCs w:val="21"/>
        </w:rPr>
        <w:t>3</w:t>
      </w:r>
      <w:r>
        <w:rPr>
          <w:rFonts w:hint="eastAsia" w:asciiTheme="minorEastAsia" w:hAnsiTheme="minorEastAsia"/>
          <w:szCs w:val="21"/>
        </w:rPr>
        <w:t>、投资者在办理基金账户业务相关手续时，必须保证所提供资料的真实、完整、准确、有效，并承诺在投资者资料发生变更时，及时办理有关变更手续。如因资料不实或更改不及时而导致的风险由投资者自行承担。</w:t>
      </w:r>
    </w:p>
    <w:p>
      <w:pPr>
        <w:snapToGrid w:val="0"/>
        <w:spacing w:line="288" w:lineRule="auto"/>
        <w:ind w:firstLine="367" w:firstLineChars="175"/>
        <w:rPr>
          <w:rFonts w:asciiTheme="minorEastAsia" w:hAnsiTheme="minorEastAsia"/>
          <w:szCs w:val="21"/>
        </w:rPr>
      </w:pPr>
      <w:r>
        <w:rPr>
          <w:rFonts w:ascii="Times New Roman" w:hAnsi="Times New Roman" w:cs="Times New Roman"/>
          <w:szCs w:val="21"/>
        </w:rPr>
        <w:t>4</w:t>
      </w:r>
      <w:r>
        <w:rPr>
          <w:rFonts w:hint="eastAsia" w:asciiTheme="minorEastAsia" w:hAnsiTheme="minorEastAsia"/>
          <w:szCs w:val="21"/>
        </w:rPr>
        <w:t>、投资者提交申请时，本公司还可能根据反洗钱相关法律法规规定，要求投资者补充提交其他相关身份证明文件。如投资者先前提交的身份证件或者身份证明文件已过有效期，应及时补充更新；若投资者在证件有效期过期</w:t>
      </w:r>
      <w:r>
        <w:rPr>
          <w:rFonts w:hint="default" w:ascii="Times New Roman" w:hAnsi="Times New Roman" w:cs="Times New Roman"/>
          <w:szCs w:val="21"/>
        </w:rPr>
        <w:t>90</w:t>
      </w:r>
      <w:r>
        <w:rPr>
          <w:rFonts w:hint="eastAsia" w:asciiTheme="minorEastAsia" w:hAnsiTheme="minorEastAsia"/>
          <w:szCs w:val="21"/>
        </w:rPr>
        <w:t>天内没有更新且没有合理理由的，将影响部分业务的办理，本公司不承担由此带来的损失及法律责任。</w:t>
      </w:r>
    </w:p>
    <w:p>
      <w:pPr>
        <w:spacing w:line="288" w:lineRule="auto"/>
        <w:ind w:firstLine="367" w:firstLineChars="175"/>
        <w:rPr>
          <w:rFonts w:asciiTheme="minorEastAsia" w:hAnsiTheme="minorEastAsia"/>
          <w:szCs w:val="21"/>
        </w:rPr>
      </w:pPr>
      <w:r>
        <w:rPr>
          <w:rFonts w:hint="default" w:ascii="Times New Roman" w:hAnsi="Times New Roman" w:cs="Times New Roman"/>
          <w:szCs w:val="21"/>
        </w:rPr>
        <w:t>5</w:t>
      </w:r>
      <w:r>
        <w:rPr>
          <w:rFonts w:hint="eastAsia" w:asciiTheme="minorEastAsia" w:hAnsiTheme="minorEastAsia"/>
          <w:szCs w:val="21"/>
        </w:rPr>
        <w:t>、投资者须妥善保管预留印鉴、交易密码和身份识别凭证，本公司对投资者的申请材料仅作表面真实性审查；一切使用投资者预留印鉴、身份识别凭证和或交易密码进行的交易行为均视为投资者本人所为，由此造成的后果由投资者自行承担。</w:t>
      </w:r>
    </w:p>
    <w:p>
      <w:pPr>
        <w:spacing w:line="288" w:lineRule="auto"/>
        <w:ind w:firstLine="367" w:firstLineChars="175"/>
        <w:rPr>
          <w:rFonts w:asciiTheme="minorEastAsia" w:hAnsiTheme="minorEastAsia"/>
          <w:szCs w:val="21"/>
        </w:rPr>
      </w:pPr>
      <w:r>
        <w:rPr>
          <w:rFonts w:ascii="Times New Roman" w:hAnsi="Times New Roman" w:cs="Times New Roman"/>
          <w:szCs w:val="21"/>
        </w:rPr>
        <w:t>6</w:t>
      </w:r>
      <w:r>
        <w:rPr>
          <w:rFonts w:hint="eastAsia" w:asciiTheme="minorEastAsia" w:hAnsiTheme="minorEastAsia"/>
          <w:szCs w:val="21"/>
        </w:rPr>
        <w:t>、投资者提交申请时，所填的银行账户将作为投资者基金认/申购款的唯一汇出账户和基金份额赎回、分红、退款等资金的唯一汇入账户。汇入账户与汇出账户必须与开户时的预留银行账号或变更后的银行账号保持一致。</w:t>
      </w:r>
    </w:p>
    <w:p>
      <w:pPr>
        <w:spacing w:line="288" w:lineRule="auto"/>
        <w:ind w:firstLine="367" w:firstLineChars="175"/>
        <w:rPr>
          <w:rFonts w:asciiTheme="minorEastAsia" w:hAnsiTheme="minorEastAsia"/>
          <w:szCs w:val="21"/>
        </w:rPr>
      </w:pPr>
      <w:r>
        <w:rPr>
          <w:rFonts w:hint="default" w:ascii="Times New Roman" w:hAnsi="Times New Roman" w:cs="Times New Roman"/>
          <w:szCs w:val="21"/>
        </w:rPr>
        <w:t>7</w:t>
      </w:r>
      <w:r>
        <w:rPr>
          <w:rFonts w:hint="eastAsia" w:asciiTheme="minorEastAsia" w:hAnsiTheme="minorEastAsia"/>
          <w:szCs w:val="21"/>
        </w:rPr>
        <w:t>、投资者资料变更申请一经确认，所有交易均以新的资料信息为依据。</w:t>
      </w:r>
    </w:p>
    <w:p>
      <w:pPr>
        <w:spacing w:line="288" w:lineRule="auto"/>
        <w:ind w:firstLine="367" w:firstLineChars="175"/>
        <w:rPr>
          <w:rFonts w:asciiTheme="minorEastAsia" w:hAnsiTheme="minorEastAsia"/>
          <w:szCs w:val="21"/>
        </w:rPr>
      </w:pPr>
      <w:r>
        <w:rPr>
          <w:rFonts w:ascii="Times New Roman" w:hAnsi="Times New Roman" w:cs="Times New Roman"/>
          <w:szCs w:val="21"/>
        </w:rPr>
        <w:t>8</w:t>
      </w:r>
      <w:r>
        <w:rPr>
          <w:rFonts w:hint="eastAsia" w:asciiTheme="minorEastAsia" w:hAnsiTheme="minorEastAsia"/>
          <w:szCs w:val="21"/>
        </w:rPr>
        <w:t>、申请基金账户销户时，基金账户内应无任何基金份额、权益和在途交易及该账户未被冻结或挂失；撤销交易账户，该交易账户内必须无任何基金份额、权益和在途交易。</w:t>
      </w:r>
    </w:p>
    <w:p>
      <w:pPr>
        <w:spacing w:line="288" w:lineRule="auto"/>
        <w:ind w:firstLine="367" w:firstLineChars="175"/>
        <w:rPr>
          <w:rFonts w:asciiTheme="minorEastAsia" w:hAnsiTheme="minorEastAsia"/>
          <w:szCs w:val="21"/>
        </w:rPr>
      </w:pPr>
      <w:r>
        <w:rPr>
          <w:rFonts w:ascii="Times New Roman" w:hAnsi="Times New Roman" w:cs="Times New Roman"/>
          <w:szCs w:val="21"/>
        </w:rPr>
        <w:t>9</w:t>
      </w:r>
      <w:r>
        <w:rPr>
          <w:rFonts w:hint="eastAsia" w:asciiTheme="minorEastAsia" w:hAnsiTheme="minorEastAsia"/>
          <w:szCs w:val="21"/>
        </w:rPr>
        <w:t>、因相关运营商调整而导致短信发送的账单及其他信息定制出现延迟或无法送达等问题，请留意本公司最新公告或致电公司客服电话进行具体咨询。</w:t>
      </w:r>
    </w:p>
    <w:p>
      <w:pPr>
        <w:spacing w:line="288" w:lineRule="auto"/>
        <w:ind w:firstLine="367" w:firstLineChars="175"/>
        <w:rPr>
          <w:rFonts w:asciiTheme="minorEastAsia" w:hAnsiTheme="minorEastAsia"/>
          <w:szCs w:val="21"/>
        </w:rPr>
      </w:pPr>
      <w:r>
        <w:rPr>
          <w:rFonts w:ascii="Times New Roman" w:hAnsi="Times New Roman" w:cs="Times New Roman"/>
          <w:szCs w:val="21"/>
        </w:rPr>
        <w:t>10</w:t>
      </w:r>
      <w:r>
        <w:rPr>
          <w:rFonts w:asciiTheme="minorEastAsia" w:hAnsiTheme="minorEastAsia"/>
          <w:szCs w:val="21"/>
        </w:rPr>
        <w:t>、</w:t>
      </w:r>
      <w:r>
        <w:rPr>
          <w:rFonts w:hint="eastAsia" w:asciiTheme="minorEastAsia" w:hAnsiTheme="minorEastAsia"/>
          <w:szCs w:val="21"/>
        </w:rPr>
        <w:t>本公司受理的直销业务申请，并不表示对本申请予以确认，最终结果以注册登记信息为准。</w:t>
      </w:r>
    </w:p>
    <w:p>
      <w:pPr>
        <w:spacing w:line="288" w:lineRule="auto"/>
        <w:ind w:firstLine="367" w:firstLineChars="175"/>
        <w:rPr>
          <w:rFonts w:asciiTheme="minorEastAsia" w:hAnsiTheme="minorEastAsia"/>
          <w:szCs w:val="21"/>
        </w:rPr>
      </w:pPr>
      <w:r>
        <w:rPr>
          <w:rFonts w:hint="default" w:ascii="Times New Roman" w:hAnsi="Times New Roman" w:cs="Times New Roman"/>
          <w:szCs w:val="21"/>
        </w:rPr>
        <w:t>1</w:t>
      </w:r>
      <w:r>
        <w:rPr>
          <w:rFonts w:ascii="Times New Roman" w:hAnsi="Times New Roman" w:cs="Times New Roman"/>
          <w:szCs w:val="21"/>
        </w:rPr>
        <w:t>1</w:t>
      </w:r>
      <w:r>
        <w:rPr>
          <w:rFonts w:asciiTheme="minorEastAsia" w:hAnsiTheme="minorEastAsia"/>
          <w:szCs w:val="21"/>
        </w:rPr>
        <w:t>、</w:t>
      </w:r>
      <w:r>
        <w:rPr>
          <w:rFonts w:hint="eastAsia" w:asciiTheme="minorEastAsia" w:hAnsiTheme="minorEastAsia"/>
          <w:szCs w:val="21"/>
        </w:rPr>
        <w:t>本指引仅供投资者办理相关业务时参考，实际办理流程及所需资料以本公司最新业务规则为准。</w:t>
      </w:r>
    </w:p>
    <w:p>
      <w:pPr>
        <w:snapToGrid w:val="0"/>
        <w:spacing w:line="288" w:lineRule="auto"/>
        <w:ind w:right="141" w:rightChars="67" w:firstLine="422" w:firstLineChars="175"/>
        <w:rPr>
          <w:rFonts w:asciiTheme="minorEastAsia" w:hAnsiTheme="minorEastAsia"/>
          <w:b/>
          <w:sz w:val="24"/>
          <w:szCs w:val="24"/>
        </w:rPr>
      </w:pPr>
    </w:p>
    <w:p>
      <w:pPr>
        <w:snapToGrid w:val="0"/>
        <w:spacing w:line="360" w:lineRule="auto"/>
        <w:ind w:right="141" w:rightChars="67" w:firstLine="422" w:firstLineChars="175"/>
        <w:rPr>
          <w:rFonts w:asciiTheme="minorEastAsia" w:hAnsiTheme="minorEastAsia"/>
          <w:b/>
          <w:sz w:val="24"/>
          <w:szCs w:val="24"/>
        </w:rPr>
      </w:pPr>
      <w:r>
        <w:rPr>
          <w:rFonts w:hint="eastAsia" w:asciiTheme="minorEastAsia" w:hAnsiTheme="minorEastAsia"/>
          <w:b/>
          <w:sz w:val="24"/>
          <w:szCs w:val="24"/>
        </w:rPr>
        <w:t>八、联系方式：</w:t>
      </w:r>
    </w:p>
    <w:p>
      <w:pPr>
        <w:snapToGrid w:val="0"/>
        <w:spacing w:line="360" w:lineRule="auto"/>
        <w:ind w:right="141" w:rightChars="67" w:firstLine="367" w:firstLineChars="175"/>
        <w:rPr>
          <w:rFonts w:asciiTheme="minorEastAsia" w:hAnsiTheme="minorEastAsia"/>
          <w:szCs w:val="21"/>
        </w:rPr>
      </w:pPr>
      <w:r>
        <w:rPr>
          <w:rFonts w:hint="eastAsia" w:asciiTheme="minorEastAsia" w:hAnsiTheme="minorEastAsia"/>
          <w:szCs w:val="21"/>
        </w:rPr>
        <w:t>直销专线：</w:t>
      </w:r>
      <w:r>
        <w:rPr>
          <w:rFonts w:hint="default" w:ascii="Times New Roman" w:hAnsi="Times New Roman" w:cs="Times New Roman"/>
        </w:rPr>
        <w:t>022-28451132</w:t>
      </w:r>
    </w:p>
    <w:p>
      <w:pPr>
        <w:snapToGrid w:val="0"/>
        <w:spacing w:line="360" w:lineRule="auto"/>
        <w:ind w:right="141" w:rightChars="67" w:firstLine="367" w:firstLineChars="175"/>
        <w:rPr>
          <w:rFonts w:asciiTheme="minorEastAsia" w:hAnsiTheme="minorEastAsia"/>
          <w:szCs w:val="21"/>
        </w:rPr>
      </w:pPr>
      <w:r>
        <w:rPr>
          <w:rFonts w:hint="eastAsia" w:asciiTheme="minorEastAsia" w:hAnsiTheme="minorEastAsia"/>
          <w:szCs w:val="21"/>
        </w:rPr>
        <w:t>直销传真：</w:t>
      </w:r>
      <w:r>
        <w:rPr>
          <w:rFonts w:hint="default" w:ascii="Times New Roman" w:hAnsi="Times New Roman" w:cs="Times New Roman"/>
        </w:rPr>
        <w:t>022-23861510</w:t>
      </w:r>
    </w:p>
    <w:p>
      <w:pPr>
        <w:snapToGrid w:val="0"/>
        <w:spacing w:line="360" w:lineRule="auto"/>
        <w:ind w:right="141" w:rightChars="67" w:firstLine="367" w:firstLineChars="175"/>
        <w:rPr>
          <w:rFonts w:asciiTheme="minorEastAsia" w:hAnsiTheme="minorEastAsia"/>
          <w:szCs w:val="21"/>
        </w:rPr>
      </w:pPr>
      <w:r>
        <w:rPr>
          <w:rFonts w:hint="eastAsia" w:asciiTheme="minorEastAsia" w:hAnsiTheme="minorEastAsia"/>
          <w:szCs w:val="21"/>
        </w:rPr>
        <w:t>直销邮箱：</w:t>
      </w:r>
      <w:r>
        <w:rPr>
          <w:rFonts w:hint="default" w:ascii="Times New Roman" w:hAnsi="Times New Roman" w:cs="Times New Roman"/>
        </w:rPr>
        <w:t>bhhjzx@bhzq.com</w:t>
      </w:r>
    </w:p>
    <w:p>
      <w:pPr>
        <w:snapToGrid w:val="0"/>
        <w:spacing w:line="360" w:lineRule="auto"/>
        <w:ind w:right="141" w:rightChars="67" w:firstLine="367" w:firstLineChars="175"/>
        <w:rPr>
          <w:rFonts w:asciiTheme="minorEastAsia" w:hAnsiTheme="minorEastAsia"/>
          <w:szCs w:val="21"/>
        </w:rPr>
      </w:pPr>
      <w:r>
        <w:rPr>
          <w:rFonts w:hint="eastAsia" w:asciiTheme="minorEastAsia" w:hAnsiTheme="minorEastAsia"/>
          <w:szCs w:val="21"/>
        </w:rPr>
        <w:t>直销业务信函地址：天津市南开区宾水西道</w:t>
      </w:r>
      <w:r>
        <w:rPr>
          <w:rFonts w:hint="default" w:ascii="Times New Roman" w:hAnsi="Times New Roman" w:cs="Times New Roman"/>
          <w:szCs w:val="21"/>
        </w:rPr>
        <w:t>8</w:t>
      </w:r>
      <w:r>
        <w:rPr>
          <w:rFonts w:hint="eastAsia" w:asciiTheme="minorEastAsia" w:hAnsiTheme="minorEastAsia"/>
          <w:szCs w:val="21"/>
        </w:rPr>
        <w:t>号  渤海汇金直销 收（</w:t>
      </w:r>
      <w:r>
        <w:rPr>
          <w:rFonts w:hint="default" w:ascii="Times New Roman" w:hAnsi="Times New Roman" w:cs="Times New Roman"/>
        </w:rPr>
        <w:t>300381</w:t>
      </w:r>
      <w:r>
        <w:rPr>
          <w:rFonts w:hint="eastAsia" w:asciiTheme="minorEastAsia" w:hAnsiTheme="minorEastAsia"/>
          <w:szCs w:val="21"/>
        </w:rPr>
        <w:t>）</w:t>
      </w:r>
    </w:p>
    <w:p>
      <w:pPr>
        <w:snapToGrid w:val="0"/>
        <w:spacing w:line="360" w:lineRule="auto"/>
        <w:ind w:right="141" w:rightChars="67" w:firstLine="367" w:firstLineChars="175"/>
        <w:rPr>
          <w:rFonts w:asciiTheme="minorEastAsia" w:hAnsiTheme="minorEastAsia"/>
          <w:szCs w:val="21"/>
        </w:rPr>
      </w:pPr>
      <w:r>
        <w:rPr>
          <w:rFonts w:hint="eastAsia" w:asciiTheme="minorEastAsia" w:hAnsiTheme="minorEastAsia"/>
          <w:szCs w:val="21"/>
        </w:rPr>
        <w:t>客服电话：</w:t>
      </w:r>
      <w:r>
        <w:rPr>
          <w:rFonts w:hint="default" w:ascii="Times New Roman" w:hAnsi="Times New Roman" w:cs="Times New Roman"/>
        </w:rPr>
        <w:t>400-651-1717</w:t>
      </w:r>
    </w:p>
    <w:p>
      <w:pPr>
        <w:snapToGrid w:val="0"/>
        <w:spacing w:line="360" w:lineRule="auto"/>
        <w:ind w:right="141" w:rightChars="67" w:firstLine="367" w:firstLineChars="175"/>
        <w:rPr>
          <w:rFonts w:ascii="Times New Roman" w:hAnsi="Times New Roman" w:cs="Times New Roman"/>
          <w:szCs w:val="21"/>
        </w:rPr>
      </w:pPr>
      <w:r>
        <w:rPr>
          <w:rFonts w:hint="eastAsia" w:asciiTheme="minorEastAsia" w:hAnsiTheme="minorEastAsia"/>
          <w:szCs w:val="21"/>
        </w:rPr>
        <w:t>公司网站：</w:t>
      </w:r>
      <w:r>
        <w:rPr>
          <w:rFonts w:hint="default" w:ascii="Times New Roman" w:hAnsi="Times New Roman" w:cs="Times New Roman"/>
        </w:rPr>
        <w:t>www.bhhjamc.com</w:t>
      </w:r>
    </w:p>
    <w:sectPr>
      <w:headerReference r:id="rId3" w:type="default"/>
      <w:footerReference r:id="rId4" w:type="default"/>
      <w:pgSz w:w="11906" w:h="16838"/>
      <w:pgMar w:top="787" w:right="991" w:bottom="720" w:left="993" w:header="227"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364203"/>
    </w:sdtPr>
    <w:sdtContent>
      <w:sdt>
        <w:sdtPr>
          <w:id w:val="-2086128710"/>
        </w:sdtPr>
        <w:sdtContent>
          <w:p>
            <w:pPr>
              <w:pStyle w:val="3"/>
              <w:jc w:val="center"/>
            </w:pPr>
            <w:r>
              <w:rPr>
                <w:lang w:val="zh-CN"/>
              </w:rPr>
              <w:t xml:space="preserve"> </w:t>
            </w:r>
            <w:r>
              <w:rPr>
                <w:rFonts w:ascii="Times New Roman" w:hAnsi="Times New Roman" w:cs="Times New Roman"/>
                <w:b/>
                <w:sz w:val="24"/>
                <w:szCs w:val="24"/>
              </w:rPr>
              <w:fldChar w:fldCharType="begin"/>
            </w:r>
            <w:r>
              <w:rPr>
                <w:rFonts w:ascii="Times New Roman" w:hAnsi="Times New Roman" w:cs="Times New Roman"/>
                <w:b/>
              </w:rPr>
              <w:instrText xml:space="preserve">PAGE</w:instrText>
            </w:r>
            <w:r>
              <w:rPr>
                <w:rFonts w:ascii="Times New Roman" w:hAnsi="Times New Roman" w:cs="Times New Roman"/>
                <w:b/>
                <w:sz w:val="24"/>
                <w:szCs w:val="24"/>
              </w:rPr>
              <w:fldChar w:fldCharType="separate"/>
            </w:r>
            <w:r>
              <w:rPr>
                <w:rFonts w:ascii="Times New Roman" w:hAnsi="Times New Roman" w:cs="Times New Roman"/>
                <w:b/>
              </w:rPr>
              <w:t>2</w:t>
            </w:r>
            <w:r>
              <w:rPr>
                <w:rFonts w:ascii="Times New Roman" w:hAnsi="Times New Roman" w:cs="Times New Roman"/>
                <w:b/>
                <w:sz w:val="24"/>
                <w:szCs w:val="24"/>
              </w:rPr>
              <w:fldChar w:fldCharType="end"/>
            </w:r>
            <w:r>
              <w:rPr>
                <w:rFonts w:ascii="Times New Roman" w:hAnsi="Times New Roman" w:cs="Times New Roman"/>
                <w:lang w:val="zh-CN"/>
              </w:rPr>
              <w:t xml:space="preserve"> / </w:t>
            </w:r>
            <w:r>
              <w:rPr>
                <w:rFonts w:ascii="Times New Roman" w:hAnsi="Times New Roman" w:cs="Times New Roman"/>
                <w:b/>
                <w:sz w:val="24"/>
                <w:szCs w:val="24"/>
              </w:rPr>
              <w:fldChar w:fldCharType="begin"/>
            </w:r>
            <w:r>
              <w:rPr>
                <w:rFonts w:ascii="Times New Roman" w:hAnsi="Times New Roman" w:cs="Times New Roman"/>
                <w:b/>
              </w:rPr>
              <w:instrText xml:space="preserve">NUMPAGES</w:instrText>
            </w:r>
            <w:r>
              <w:rPr>
                <w:rFonts w:ascii="Times New Roman" w:hAnsi="Times New Roman" w:cs="Times New Roman"/>
                <w:b/>
                <w:sz w:val="24"/>
                <w:szCs w:val="24"/>
              </w:rPr>
              <w:fldChar w:fldCharType="separate"/>
            </w:r>
            <w:r>
              <w:rPr>
                <w:rFonts w:ascii="Times New Roman" w:hAnsi="Times New Roman" w:cs="Times New Roman"/>
                <w:b/>
              </w:rPr>
              <w:t>3</w:t>
            </w:r>
            <w:r>
              <w:rPr>
                <w:rFonts w:ascii="Times New Roman" w:hAnsi="Times New Roman" w:cs="Times New Roman"/>
                <w:b/>
                <w:sz w:val="24"/>
                <w:szCs w:val="24"/>
              </w:rPr>
              <w:fldChar w:fldCharType="end"/>
            </w:r>
          </w:p>
        </w:sdtContent>
      </w:sdt>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ascii="黑体" w:hAnsi="黑体" w:eastAsia="黑体" w:cs="黑体"/>
        <w:sz w:val="30"/>
        <w:szCs w:val="30"/>
      </w:rPr>
      <w:t>渤海汇金证券资产管理有限公司</w:t>
    </w:r>
    <w:r>
      <w:ptab w:relativeTo="margin" w:alignment="center" w:leader="none"/>
    </w:r>
    <w:r>
      <w:rPr>
        <w:rFonts w:hint="eastAsia"/>
      </w:rPr>
      <w:t xml:space="preserve">                               </w:t>
    </w:r>
    <w:r>
      <w:rPr>
        <w:rFonts w:hint="eastAsia"/>
        <w:lang w:val="en-US" w:eastAsia="zh-CN"/>
      </w:rPr>
      <w:t xml:space="preserve"> </w:t>
    </w:r>
    <w:r>
      <w:rPr>
        <w:rFonts w:hint="eastAsia"/>
      </w:rPr>
      <w:t xml:space="preserve">             </w:t>
    </w:r>
    <w:r>
      <w:rPr>
        <w:rFonts w:hint="default" w:ascii="Times New Roman" w:hAnsi="Times New Roman" w:cs="Times New Roman"/>
      </w:rPr>
      <w:t>V2024.001</w:t>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dit="readOnly" w:enforcement="1" w:cryptProviderType="rsaFull" w:cryptAlgorithmClass="hash" w:cryptAlgorithmType="typeAny" w:cryptAlgorithmSid="4" w:cryptSpinCount="0" w:hash="59ZFisgdzKOfnn4+/XpMsyNM5Fk=" w:salt="jcA1k7PvR6VGeXzPuiQVhw=="/>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IxMWY0YTc5ZjA2YTQ3YTk4NDU2MjA3YWVhZTIwZWMifQ=="/>
  </w:docVars>
  <w:rsids>
    <w:rsidRoot w:val="00705C49"/>
    <w:rsid w:val="000026C3"/>
    <w:rsid w:val="000059EC"/>
    <w:rsid w:val="00033852"/>
    <w:rsid w:val="000859EA"/>
    <w:rsid w:val="000878CA"/>
    <w:rsid w:val="000B44A1"/>
    <w:rsid w:val="000C2FFA"/>
    <w:rsid w:val="000F3A50"/>
    <w:rsid w:val="001215FB"/>
    <w:rsid w:val="00136104"/>
    <w:rsid w:val="001422A5"/>
    <w:rsid w:val="00143EB2"/>
    <w:rsid w:val="0019642B"/>
    <w:rsid w:val="001B0E26"/>
    <w:rsid w:val="001B3472"/>
    <w:rsid w:val="001C58DB"/>
    <w:rsid w:val="001D584C"/>
    <w:rsid w:val="001F1525"/>
    <w:rsid w:val="0021182D"/>
    <w:rsid w:val="0022567E"/>
    <w:rsid w:val="00250D8B"/>
    <w:rsid w:val="002649E5"/>
    <w:rsid w:val="002A4CFD"/>
    <w:rsid w:val="002A7BBF"/>
    <w:rsid w:val="002D4EFC"/>
    <w:rsid w:val="002E1F17"/>
    <w:rsid w:val="00312215"/>
    <w:rsid w:val="00351347"/>
    <w:rsid w:val="0038035F"/>
    <w:rsid w:val="00386361"/>
    <w:rsid w:val="00391F95"/>
    <w:rsid w:val="003A2A3F"/>
    <w:rsid w:val="003B5C38"/>
    <w:rsid w:val="003C5EAB"/>
    <w:rsid w:val="003F27B0"/>
    <w:rsid w:val="00400CDE"/>
    <w:rsid w:val="0043217F"/>
    <w:rsid w:val="004352CB"/>
    <w:rsid w:val="0043671E"/>
    <w:rsid w:val="00462C84"/>
    <w:rsid w:val="004738F5"/>
    <w:rsid w:val="00500420"/>
    <w:rsid w:val="0052218D"/>
    <w:rsid w:val="00531133"/>
    <w:rsid w:val="005400D6"/>
    <w:rsid w:val="0054061C"/>
    <w:rsid w:val="00540B9A"/>
    <w:rsid w:val="00546EC2"/>
    <w:rsid w:val="00550C0D"/>
    <w:rsid w:val="006116F5"/>
    <w:rsid w:val="00625769"/>
    <w:rsid w:val="00642A1C"/>
    <w:rsid w:val="006444F1"/>
    <w:rsid w:val="0067573B"/>
    <w:rsid w:val="00685ADA"/>
    <w:rsid w:val="00693892"/>
    <w:rsid w:val="006E04A3"/>
    <w:rsid w:val="006E7441"/>
    <w:rsid w:val="00702B87"/>
    <w:rsid w:val="00705C49"/>
    <w:rsid w:val="0073298E"/>
    <w:rsid w:val="00755607"/>
    <w:rsid w:val="00756438"/>
    <w:rsid w:val="007B773F"/>
    <w:rsid w:val="007C0F02"/>
    <w:rsid w:val="007C1D47"/>
    <w:rsid w:val="007C7EF3"/>
    <w:rsid w:val="007F28AE"/>
    <w:rsid w:val="0082738F"/>
    <w:rsid w:val="0085571F"/>
    <w:rsid w:val="00875005"/>
    <w:rsid w:val="00887BF1"/>
    <w:rsid w:val="0089258D"/>
    <w:rsid w:val="008A187F"/>
    <w:rsid w:val="008A38DC"/>
    <w:rsid w:val="00901691"/>
    <w:rsid w:val="0095078D"/>
    <w:rsid w:val="00970639"/>
    <w:rsid w:val="00993058"/>
    <w:rsid w:val="009B4D97"/>
    <w:rsid w:val="009B56C9"/>
    <w:rsid w:val="009B75E3"/>
    <w:rsid w:val="009D6B74"/>
    <w:rsid w:val="009F3192"/>
    <w:rsid w:val="009F7403"/>
    <w:rsid w:val="00A00CE6"/>
    <w:rsid w:val="00A32B1A"/>
    <w:rsid w:val="00A41606"/>
    <w:rsid w:val="00A471A8"/>
    <w:rsid w:val="00A47BAF"/>
    <w:rsid w:val="00A52FA2"/>
    <w:rsid w:val="00A55A95"/>
    <w:rsid w:val="00A76143"/>
    <w:rsid w:val="00A93A06"/>
    <w:rsid w:val="00AA3862"/>
    <w:rsid w:val="00AD1A6D"/>
    <w:rsid w:val="00AF0CB1"/>
    <w:rsid w:val="00B00677"/>
    <w:rsid w:val="00B026EF"/>
    <w:rsid w:val="00B0460F"/>
    <w:rsid w:val="00B11272"/>
    <w:rsid w:val="00B37859"/>
    <w:rsid w:val="00B511A6"/>
    <w:rsid w:val="00B52F0E"/>
    <w:rsid w:val="00B61F46"/>
    <w:rsid w:val="00B87E46"/>
    <w:rsid w:val="00BD75B8"/>
    <w:rsid w:val="00C02DE7"/>
    <w:rsid w:val="00C077E3"/>
    <w:rsid w:val="00C20E1F"/>
    <w:rsid w:val="00C218CA"/>
    <w:rsid w:val="00C35035"/>
    <w:rsid w:val="00C95024"/>
    <w:rsid w:val="00CB4E47"/>
    <w:rsid w:val="00CC63DB"/>
    <w:rsid w:val="00CD0F6A"/>
    <w:rsid w:val="00CF3208"/>
    <w:rsid w:val="00D12013"/>
    <w:rsid w:val="00D273F5"/>
    <w:rsid w:val="00D41647"/>
    <w:rsid w:val="00D52EDF"/>
    <w:rsid w:val="00D8572D"/>
    <w:rsid w:val="00D95694"/>
    <w:rsid w:val="00D968E3"/>
    <w:rsid w:val="00DA3B50"/>
    <w:rsid w:val="00DA5F96"/>
    <w:rsid w:val="00DB069C"/>
    <w:rsid w:val="00E00111"/>
    <w:rsid w:val="00E35A79"/>
    <w:rsid w:val="00E439D9"/>
    <w:rsid w:val="00E45426"/>
    <w:rsid w:val="00E639C1"/>
    <w:rsid w:val="00E660CF"/>
    <w:rsid w:val="00E724F2"/>
    <w:rsid w:val="00E8313B"/>
    <w:rsid w:val="00EA2208"/>
    <w:rsid w:val="00EA39D5"/>
    <w:rsid w:val="00EC1B07"/>
    <w:rsid w:val="00ED0FC8"/>
    <w:rsid w:val="00F01651"/>
    <w:rsid w:val="00F20444"/>
    <w:rsid w:val="00F324DE"/>
    <w:rsid w:val="00F61507"/>
    <w:rsid w:val="00F71D54"/>
    <w:rsid w:val="00F834A1"/>
    <w:rsid w:val="00F90E95"/>
    <w:rsid w:val="00FA15E2"/>
    <w:rsid w:val="00FA435E"/>
    <w:rsid w:val="00FB440E"/>
    <w:rsid w:val="00FB7FCD"/>
    <w:rsid w:val="00FC05B4"/>
    <w:rsid w:val="00FD2697"/>
    <w:rsid w:val="06DD4777"/>
    <w:rsid w:val="178049EF"/>
    <w:rsid w:val="28AC6C1D"/>
    <w:rsid w:val="33E80089"/>
    <w:rsid w:val="45495B0F"/>
    <w:rsid w:val="5A86735A"/>
    <w:rsid w:val="68100A67"/>
    <w:rsid w:val="6C407312"/>
    <w:rsid w:val="71F97911"/>
    <w:rsid w:val="73345550"/>
    <w:rsid w:val="76E50C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autoRedefin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11"/>
    <w:autoRedefine/>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nhideWhenUsed/>
    <w:uiPriority w:val="99"/>
    <w:rPr>
      <w:color w:val="0000FF" w:themeColor="hyperlink"/>
      <w:u w:val="single"/>
      <w14:textFill>
        <w14:solidFill>
          <w14:schemeClr w14:val="hlink"/>
        </w14:solidFill>
      </w14:textFill>
    </w:rPr>
  </w:style>
  <w:style w:type="character" w:customStyle="1" w:styleId="9">
    <w:name w:val="批注框文本 字符"/>
    <w:basedOn w:val="7"/>
    <w:link w:val="2"/>
    <w:semiHidden/>
    <w:qFormat/>
    <w:uiPriority w:val="99"/>
    <w:rPr>
      <w:sz w:val="18"/>
      <w:szCs w:val="18"/>
    </w:rPr>
  </w:style>
  <w:style w:type="character" w:customStyle="1" w:styleId="10">
    <w:name w:val="页眉 字符"/>
    <w:basedOn w:val="7"/>
    <w:link w:val="4"/>
    <w:qFormat/>
    <w:uiPriority w:val="99"/>
    <w:rPr>
      <w:sz w:val="18"/>
      <w:szCs w:val="18"/>
    </w:rPr>
  </w:style>
  <w:style w:type="character" w:customStyle="1" w:styleId="11">
    <w:name w:val="页脚 字符"/>
    <w:basedOn w:val="7"/>
    <w:link w:val="3"/>
    <w:autoRedefine/>
    <w:qFormat/>
    <w:uiPriority w:val="99"/>
    <w:rPr>
      <w:sz w:val="18"/>
      <w:szCs w:val="18"/>
    </w:rPr>
  </w:style>
  <w:style w:type="paragraph" w:customStyle="1" w:styleId="12">
    <w:name w:val="Default"/>
    <w:qFormat/>
    <w:uiPriority w:val="99"/>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styleId="13">
    <w:name w:val="List Paragraph"/>
    <w:basedOn w:val="1"/>
    <w:qFormat/>
    <w:uiPriority w:val="34"/>
    <w:pPr>
      <w:ind w:firstLine="420" w:firstLineChars="200"/>
    </w:pPr>
  </w:style>
  <w:style w:type="paragraph" w:customStyle="1" w:styleId="14">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526</Words>
  <Characters>2999</Characters>
  <Lines>24</Lines>
  <Paragraphs>7</Paragraphs>
  <TotalTime>2</TotalTime>
  <ScaleCrop>false</ScaleCrop>
  <LinksUpToDate>false</LinksUpToDate>
  <CharactersWithSpaces>3518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2021-12-15T06:08:00Z</dcterms:created>
  <dc:creator>dell</dc:creator>
  <cp:lastModifiedBy>bhhj</cp:lastModifiedBy>
  <cp:lastPrinted>2020-11-12T05:19:00Z</cp:lastPrinted>
  <dcterms:modified xsi:type="dcterms:W3CDTF">2023-12-28T07:09:12Z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BE78DF25D4124871AD6DE9D8899C6701</vt:lpwstr>
  </property>
</Properties>
</file>